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665B4" w14:textId="5DED4DD8" w:rsidR="00590E99" w:rsidRPr="00590E99" w:rsidRDefault="00000000" w:rsidP="00285862">
      <w:pPr>
        <w:spacing w:after="0" w:line="276" w:lineRule="auto"/>
        <w:jc w:val="center"/>
        <w:rPr>
          <w:rFonts w:ascii="Arial" w:eastAsia="Arial" w:hAnsi="Arial" w:cs="Arial"/>
          <w:b/>
          <w:color w:val="0C0C0E"/>
          <w:kern w:val="0"/>
          <w:sz w:val="22"/>
          <w:szCs w:val="22"/>
          <w:lang w:eastAsia="es-MX"/>
          <w14:ligatures w14:val="none"/>
        </w:rPr>
      </w:pPr>
      <w:r w:rsidRPr="00590E99">
        <w:rPr>
          <w:rFonts w:ascii="Arial" w:eastAsia="Arial" w:hAnsi="Arial" w:cs="Arial"/>
          <w:b/>
          <w:color w:val="0C0C0E"/>
          <w:kern w:val="0"/>
          <w:sz w:val="22"/>
          <w:szCs w:val="22"/>
          <w:lang w:eastAsia="es-MX"/>
          <w14:ligatures w14:val="none"/>
        </w:rPr>
        <w:t>Anexo “C”</w:t>
      </w:r>
    </w:p>
    <w:p w14:paraId="60386A3A" w14:textId="77777777" w:rsidR="00590E99" w:rsidRPr="00590E99" w:rsidRDefault="00590E99" w:rsidP="00590E99">
      <w:pPr>
        <w:spacing w:after="0" w:line="276" w:lineRule="auto"/>
        <w:jc w:val="center"/>
        <w:rPr>
          <w:rFonts w:ascii="Arial" w:eastAsia="Arial" w:hAnsi="Arial" w:cs="Arial"/>
          <w:b/>
          <w:color w:val="0C0C0E"/>
          <w:kern w:val="0"/>
          <w:sz w:val="22"/>
          <w:szCs w:val="22"/>
          <w:lang w:eastAsia="es-MX"/>
          <w14:ligatures w14:val="none"/>
        </w:rPr>
      </w:pPr>
    </w:p>
    <w:p w14:paraId="6F5029FB" w14:textId="77777777" w:rsidR="00590E99" w:rsidRPr="00590E99" w:rsidRDefault="00000000" w:rsidP="00590E99">
      <w:pPr>
        <w:spacing w:after="0" w:line="276" w:lineRule="auto"/>
        <w:jc w:val="center"/>
        <w:rPr>
          <w:rFonts w:ascii="Arial" w:eastAsia="Arial" w:hAnsi="Arial" w:cs="Arial"/>
          <w:color w:val="0C0C0E"/>
          <w:kern w:val="0"/>
          <w:sz w:val="22"/>
          <w:szCs w:val="22"/>
          <w:u w:val="single"/>
          <w:lang w:eastAsia="es-MX"/>
          <w14:ligatures w14:val="none"/>
        </w:rPr>
      </w:pPr>
      <w:r w:rsidRPr="00590E99">
        <w:rPr>
          <w:rFonts w:ascii="Arial" w:eastAsia="Arial" w:hAnsi="Arial" w:cs="Arial"/>
          <w:color w:val="0C0C0E"/>
          <w:kern w:val="0"/>
          <w:sz w:val="22"/>
          <w:szCs w:val="22"/>
          <w:u w:val="single"/>
          <w:lang w:eastAsia="es-MX"/>
          <w14:ligatures w14:val="none"/>
        </w:rPr>
        <w:t>Modelo de Oferta</w:t>
      </w:r>
    </w:p>
    <w:p w14:paraId="71676623" w14:textId="77777777" w:rsidR="00590E99" w:rsidRPr="00590E99" w:rsidRDefault="00590E99" w:rsidP="00590E99">
      <w:pPr>
        <w:spacing w:after="0" w:line="276" w:lineRule="auto"/>
        <w:jc w:val="center"/>
        <w:rPr>
          <w:rFonts w:ascii="Arial" w:eastAsia="Arial" w:hAnsi="Arial" w:cs="Arial"/>
          <w:color w:val="0C0C0E"/>
          <w:kern w:val="0"/>
          <w:sz w:val="22"/>
          <w:szCs w:val="22"/>
          <w:u w:val="single"/>
          <w:lang w:eastAsia="es-MX"/>
          <w14:ligatures w14:val="none"/>
        </w:rPr>
      </w:pPr>
    </w:p>
    <w:p w14:paraId="26C6328B" w14:textId="77777777" w:rsidR="00590E99" w:rsidRPr="00590E99" w:rsidRDefault="00000000" w:rsidP="00590E99">
      <w:pPr>
        <w:spacing w:after="0" w:line="276" w:lineRule="auto"/>
        <w:jc w:val="right"/>
        <w:rPr>
          <w:rFonts w:ascii="Arial" w:eastAsia="Arial" w:hAnsi="Arial" w:cs="Arial"/>
          <w:kern w:val="0"/>
          <w:sz w:val="22"/>
          <w:szCs w:val="22"/>
          <w:lang w:eastAsia="es-MX"/>
          <w14:ligatures w14:val="none"/>
        </w:rPr>
      </w:pPr>
      <w:r w:rsidRPr="00590E99">
        <w:rPr>
          <w:rFonts w:ascii="Arial" w:eastAsia="Arial" w:hAnsi="Arial" w:cs="Arial"/>
          <w:kern w:val="0"/>
          <w:sz w:val="22"/>
          <w:szCs w:val="22"/>
          <w:lang w:eastAsia="es-MX"/>
          <w14:ligatures w14:val="none"/>
        </w:rPr>
        <w:t>Monterrey, Nuevo León, a [</w:t>
      </w:r>
      <w:r w:rsidRPr="00590E99">
        <w:rPr>
          <w:rFonts w:ascii="Arial" w:eastAsia="Arial" w:hAnsi="Arial" w:cs="Arial"/>
          <w:kern w:val="0"/>
          <w:sz w:val="22"/>
          <w:szCs w:val="22"/>
          <w:highlight w:val="yellow"/>
          <w:lang w:eastAsia="es-MX"/>
          <w14:ligatures w14:val="none"/>
        </w:rPr>
        <w:t>*</w:t>
      </w:r>
      <w:r w:rsidRPr="00590E99">
        <w:rPr>
          <w:rFonts w:ascii="Arial" w:eastAsia="Arial" w:hAnsi="Arial" w:cs="Arial"/>
          <w:kern w:val="0"/>
          <w:sz w:val="22"/>
          <w:szCs w:val="22"/>
          <w:lang w:eastAsia="es-MX"/>
          <w14:ligatures w14:val="none"/>
        </w:rPr>
        <w:t>] de [</w:t>
      </w:r>
      <w:r w:rsidRPr="00590E99">
        <w:rPr>
          <w:rFonts w:ascii="Arial" w:eastAsia="Arial" w:hAnsi="Arial" w:cs="Arial"/>
          <w:kern w:val="0"/>
          <w:sz w:val="22"/>
          <w:szCs w:val="22"/>
          <w:highlight w:val="yellow"/>
          <w:lang w:eastAsia="es-MX"/>
          <w14:ligatures w14:val="none"/>
        </w:rPr>
        <w:t>*</w:t>
      </w:r>
      <w:r w:rsidRPr="00590E99">
        <w:rPr>
          <w:rFonts w:ascii="Arial" w:eastAsia="Arial" w:hAnsi="Arial" w:cs="Arial"/>
          <w:kern w:val="0"/>
          <w:sz w:val="22"/>
          <w:szCs w:val="22"/>
          <w:lang w:eastAsia="es-MX"/>
          <w14:ligatures w14:val="none"/>
        </w:rPr>
        <w:t>] de 2025</w:t>
      </w:r>
    </w:p>
    <w:p w14:paraId="1C8DD2A5" w14:textId="77777777" w:rsidR="00590E99" w:rsidRPr="00590E99" w:rsidRDefault="00590E99" w:rsidP="00590E99">
      <w:pPr>
        <w:spacing w:after="0" w:line="276" w:lineRule="auto"/>
        <w:jc w:val="right"/>
        <w:rPr>
          <w:rFonts w:ascii="Arial" w:eastAsia="Arial" w:hAnsi="Arial" w:cs="Arial"/>
          <w:kern w:val="0"/>
          <w:sz w:val="22"/>
          <w:szCs w:val="22"/>
          <w:lang w:eastAsia="es-MX"/>
          <w14:ligatures w14:val="none"/>
        </w:rPr>
      </w:pPr>
    </w:p>
    <w:p w14:paraId="07D6B6BF" w14:textId="77777777" w:rsidR="00590E99" w:rsidRPr="00590E99" w:rsidRDefault="00000000" w:rsidP="00590E99">
      <w:pPr>
        <w:spacing w:after="0" w:line="276" w:lineRule="auto"/>
        <w:ind w:right="4800"/>
        <w:jc w:val="both"/>
        <w:rPr>
          <w:rFonts w:ascii="Arial" w:eastAsia="Arial" w:hAnsi="Arial" w:cs="Arial"/>
          <w:b/>
          <w:kern w:val="0"/>
          <w:sz w:val="22"/>
          <w:szCs w:val="22"/>
          <w:lang w:eastAsia="es-MX"/>
          <w14:ligatures w14:val="none"/>
        </w:rPr>
      </w:pPr>
      <w:r w:rsidRPr="00590E99">
        <w:rPr>
          <w:rFonts w:ascii="Arial" w:eastAsia="Arial" w:hAnsi="Arial" w:cs="Arial"/>
          <w:b/>
          <w:kern w:val="0"/>
          <w:sz w:val="22"/>
          <w:szCs w:val="22"/>
          <w:lang w:eastAsia="es-MX"/>
          <w14:ligatures w14:val="none"/>
        </w:rPr>
        <w:t>Dirección de Finanzas de Servicios de Agua y Drenaje de Monterrey, I.P.D.</w:t>
      </w:r>
    </w:p>
    <w:p w14:paraId="532D76B5" w14:textId="77777777" w:rsidR="00590E99" w:rsidRPr="00590E99" w:rsidRDefault="00000000" w:rsidP="00590E99">
      <w:pPr>
        <w:spacing w:after="0" w:line="276" w:lineRule="auto"/>
        <w:jc w:val="both"/>
        <w:rPr>
          <w:rFonts w:ascii="Arial" w:eastAsia="Arial" w:hAnsi="Arial" w:cs="Arial"/>
          <w:b/>
          <w:kern w:val="0"/>
          <w:sz w:val="22"/>
          <w:szCs w:val="22"/>
          <w:lang w:eastAsia="es-MX"/>
          <w14:ligatures w14:val="none"/>
        </w:rPr>
      </w:pPr>
      <w:r w:rsidRPr="00590E99">
        <w:rPr>
          <w:rFonts w:ascii="Arial" w:eastAsia="Arial" w:hAnsi="Arial" w:cs="Arial"/>
          <w:b/>
          <w:kern w:val="0"/>
          <w:sz w:val="22"/>
          <w:szCs w:val="22"/>
          <w:lang w:eastAsia="es-MX"/>
          <w14:ligatures w14:val="none"/>
        </w:rPr>
        <w:t>Presente.-</w:t>
      </w:r>
    </w:p>
    <w:p w14:paraId="122FD5DF" w14:textId="77777777" w:rsidR="00590E99" w:rsidRPr="00590E99" w:rsidRDefault="00000000" w:rsidP="00590E99">
      <w:pPr>
        <w:spacing w:after="0" w:line="276" w:lineRule="auto"/>
        <w:jc w:val="center"/>
        <w:rPr>
          <w:rFonts w:ascii="Arial" w:eastAsia="Arial" w:hAnsi="Arial" w:cs="Arial"/>
          <w:b/>
          <w:kern w:val="0"/>
          <w:sz w:val="22"/>
          <w:szCs w:val="22"/>
          <w:lang w:eastAsia="es-MX"/>
          <w14:ligatures w14:val="none"/>
        </w:rPr>
      </w:pPr>
      <w:r w:rsidRPr="00590E99">
        <w:rPr>
          <w:rFonts w:ascii="Arial" w:eastAsia="Arial" w:hAnsi="Arial" w:cs="Arial"/>
          <w:b/>
          <w:kern w:val="0"/>
          <w:sz w:val="22"/>
          <w:szCs w:val="22"/>
          <w:lang w:eastAsia="es-MX"/>
          <w14:ligatures w14:val="none"/>
        </w:rPr>
        <w:t xml:space="preserve"> </w:t>
      </w:r>
    </w:p>
    <w:p w14:paraId="502C96DD" w14:textId="77777777" w:rsidR="00590E99" w:rsidRPr="00590E99" w:rsidRDefault="00000000" w:rsidP="00590E99">
      <w:pPr>
        <w:spacing w:after="0" w:line="276" w:lineRule="auto"/>
        <w:ind w:firstLine="720"/>
        <w:jc w:val="both"/>
        <w:rPr>
          <w:rFonts w:ascii="Arial" w:eastAsia="Arial" w:hAnsi="Arial" w:cs="Arial"/>
          <w:kern w:val="0"/>
          <w:sz w:val="22"/>
          <w:szCs w:val="22"/>
          <w:lang w:eastAsia="es-MX"/>
          <w14:ligatures w14:val="none"/>
        </w:rPr>
      </w:pPr>
      <w:r w:rsidRPr="00590E99">
        <w:rPr>
          <w:rFonts w:ascii="Arial" w:eastAsia="Arial" w:hAnsi="Arial" w:cs="Arial"/>
          <w:kern w:val="0"/>
          <w:sz w:val="22"/>
          <w:szCs w:val="22"/>
          <w:lang w:eastAsia="es-MX"/>
          <w14:ligatures w14:val="none"/>
        </w:rPr>
        <w:t>[Nombre del representante legal], en mi carácter de representante legal de [nombre de la Institución Financiera], en nombre de mi representada, con el propósito de dar cumplimiento a lo establecido en las Bases de la Licitación Pública No. SADM/01/2025, emitidas por la Dirección General de SADM y la Dirección de Finanzas de SADM (las “</w:t>
      </w:r>
      <w:r w:rsidRPr="00590E99">
        <w:rPr>
          <w:rFonts w:ascii="Arial" w:eastAsia="Arial" w:hAnsi="Arial" w:cs="Arial"/>
          <w:kern w:val="0"/>
          <w:sz w:val="22"/>
          <w:szCs w:val="22"/>
          <w:u w:val="single"/>
          <w:lang w:eastAsia="es-MX"/>
          <w14:ligatures w14:val="none"/>
        </w:rPr>
        <w:t>Bases de la Licitación Pública</w:t>
      </w:r>
      <w:r w:rsidRPr="00590E99">
        <w:rPr>
          <w:rFonts w:ascii="Arial" w:eastAsia="Arial" w:hAnsi="Arial" w:cs="Arial"/>
          <w:kern w:val="0"/>
          <w:sz w:val="22"/>
          <w:szCs w:val="22"/>
          <w:lang w:eastAsia="es-MX"/>
          <w14:ligatures w14:val="none"/>
        </w:rPr>
        <w:t>”), nos obligamos en términos de lo siguiente:</w:t>
      </w:r>
    </w:p>
    <w:p w14:paraId="59A487BB" w14:textId="77777777" w:rsidR="00590E99" w:rsidRPr="00590E99" w:rsidRDefault="00590E99" w:rsidP="00590E99">
      <w:pPr>
        <w:spacing w:after="0" w:line="276" w:lineRule="auto"/>
        <w:ind w:firstLine="720"/>
        <w:jc w:val="center"/>
        <w:rPr>
          <w:rFonts w:ascii="Arial" w:eastAsia="Arial" w:hAnsi="Arial" w:cs="Arial"/>
          <w:b/>
          <w:kern w:val="0"/>
          <w:sz w:val="22"/>
          <w:szCs w:val="22"/>
          <w:lang w:eastAsia="es-MX"/>
          <w14:ligatures w14:val="none"/>
        </w:rPr>
      </w:pPr>
    </w:p>
    <w:p w14:paraId="17F7FCE8" w14:textId="77777777" w:rsidR="00590E99" w:rsidRPr="00590E99" w:rsidRDefault="00000000" w:rsidP="00590E99">
      <w:pPr>
        <w:spacing w:after="0" w:line="276" w:lineRule="auto"/>
        <w:ind w:firstLine="720"/>
        <w:jc w:val="both"/>
        <w:rPr>
          <w:rFonts w:ascii="Arial" w:eastAsia="Arial" w:hAnsi="Arial" w:cs="Arial"/>
          <w:i/>
          <w:kern w:val="0"/>
          <w:sz w:val="22"/>
          <w:szCs w:val="22"/>
          <w:lang w:eastAsia="es-MX"/>
          <w14:ligatures w14:val="none"/>
        </w:rPr>
      </w:pPr>
      <w:r w:rsidRPr="00590E99">
        <w:rPr>
          <w:rFonts w:ascii="Arial" w:eastAsia="Arial" w:hAnsi="Arial" w:cs="Arial"/>
          <w:i/>
          <w:kern w:val="0"/>
          <w:sz w:val="22"/>
          <w:szCs w:val="22"/>
          <w:lang w:eastAsia="es-MX"/>
          <w14:ligatures w14:val="none"/>
        </w:rPr>
        <w:t>Los términos escritos con mayúscula inicial que no se encuentren definidos en este documento tendrán el significado que se les atribuye a los mismos en las Bases la Licitación Pública y en la Convocatoria, salvo que se establezca expresamente lo contrario en el presente documento.</w:t>
      </w:r>
    </w:p>
    <w:p w14:paraId="1FAE204F" w14:textId="77777777" w:rsidR="00590E99" w:rsidRPr="00590E99" w:rsidRDefault="00590E99" w:rsidP="00590E99">
      <w:pPr>
        <w:spacing w:after="0" w:line="276" w:lineRule="auto"/>
        <w:ind w:firstLine="720"/>
        <w:jc w:val="center"/>
        <w:rPr>
          <w:rFonts w:ascii="Arial" w:eastAsia="Arial" w:hAnsi="Arial" w:cs="Arial"/>
          <w:b/>
          <w:i/>
          <w:kern w:val="0"/>
          <w:sz w:val="22"/>
          <w:szCs w:val="22"/>
          <w:lang w:eastAsia="es-MX"/>
          <w14:ligatures w14:val="none"/>
        </w:rPr>
      </w:pPr>
    </w:p>
    <w:tbl>
      <w:tblPr>
        <w:tblW w:w="9139" w:type="dxa"/>
        <w:tblBorders>
          <w:top w:val="nil"/>
          <w:left w:val="nil"/>
          <w:bottom w:val="nil"/>
          <w:right w:val="nil"/>
          <w:insideH w:val="nil"/>
          <w:insideV w:val="nil"/>
        </w:tblBorders>
        <w:tblLayout w:type="fixed"/>
        <w:tblLook w:val="0600" w:firstRow="0" w:lastRow="0" w:firstColumn="0" w:lastColumn="0" w:noHBand="1" w:noVBand="1"/>
      </w:tblPr>
      <w:tblGrid>
        <w:gridCol w:w="2115"/>
        <w:gridCol w:w="7024"/>
      </w:tblGrid>
      <w:tr w:rsidR="00DA57A7" w14:paraId="64C55289" w14:textId="77777777" w:rsidTr="00D5613F">
        <w:trPr>
          <w:trHeight w:val="525"/>
        </w:trPr>
        <w:tc>
          <w:tcPr>
            <w:tcW w:w="9139" w:type="dxa"/>
            <w:gridSpan w:val="2"/>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761A29DF" w14:textId="77777777" w:rsidR="00590E99" w:rsidRPr="00590E99" w:rsidRDefault="00000000" w:rsidP="00590E99">
            <w:pPr>
              <w:spacing w:after="0" w:line="276" w:lineRule="auto"/>
              <w:jc w:val="center"/>
              <w:rPr>
                <w:rFonts w:ascii="Arial" w:eastAsia="Arial" w:hAnsi="Arial" w:cs="Arial"/>
                <w:b/>
                <w:kern w:val="0"/>
                <w:sz w:val="22"/>
                <w:szCs w:val="22"/>
                <w:lang w:eastAsia="es-MX"/>
                <w14:ligatures w14:val="none"/>
              </w:rPr>
            </w:pPr>
            <w:r w:rsidRPr="00590E99">
              <w:rPr>
                <w:rFonts w:ascii="Arial" w:eastAsia="Arial" w:hAnsi="Arial" w:cs="Arial"/>
                <w:b/>
                <w:kern w:val="0"/>
                <w:sz w:val="22"/>
                <w:szCs w:val="22"/>
                <w:lang w:eastAsia="es-MX"/>
                <w14:ligatures w14:val="none"/>
              </w:rPr>
              <w:t>[Nombre de la Institución Financiera]</w:t>
            </w:r>
          </w:p>
        </w:tc>
      </w:tr>
      <w:tr w:rsidR="00DA57A7" w14:paraId="68D24EBE" w14:textId="77777777" w:rsidTr="00D5613F">
        <w:trPr>
          <w:trHeight w:val="510"/>
        </w:trPr>
        <w:tc>
          <w:tcPr>
            <w:tcW w:w="2115"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0FC3BCC" w14:textId="77777777" w:rsidR="00590E99" w:rsidRPr="00590E99" w:rsidRDefault="00000000" w:rsidP="00590E99">
            <w:pPr>
              <w:spacing w:after="0" w:line="276" w:lineRule="auto"/>
              <w:jc w:val="both"/>
              <w:rPr>
                <w:rFonts w:ascii="Arial" w:eastAsia="Arial" w:hAnsi="Arial" w:cs="Arial"/>
                <w:kern w:val="0"/>
                <w:sz w:val="22"/>
                <w:szCs w:val="22"/>
                <w:lang w:eastAsia="es-MX"/>
                <w14:ligatures w14:val="none"/>
              </w:rPr>
            </w:pPr>
            <w:r w:rsidRPr="00590E99">
              <w:rPr>
                <w:rFonts w:ascii="Arial" w:eastAsia="Arial" w:hAnsi="Arial" w:cs="Arial"/>
                <w:kern w:val="0"/>
                <w:sz w:val="22"/>
                <w:szCs w:val="22"/>
                <w:lang w:eastAsia="es-MX"/>
                <w14:ligatures w14:val="none"/>
              </w:rPr>
              <w:t>Acreditante:</w:t>
            </w:r>
          </w:p>
        </w:tc>
        <w:tc>
          <w:tcPr>
            <w:tcW w:w="702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78EB568" w14:textId="77777777" w:rsidR="00590E99" w:rsidRPr="00590E99" w:rsidRDefault="00000000" w:rsidP="00590E99">
            <w:pPr>
              <w:spacing w:after="0" w:line="276" w:lineRule="auto"/>
              <w:jc w:val="both"/>
              <w:rPr>
                <w:rFonts w:ascii="Arial" w:eastAsia="Arial" w:hAnsi="Arial" w:cs="Arial"/>
                <w:kern w:val="0"/>
                <w:sz w:val="22"/>
                <w:szCs w:val="22"/>
                <w:lang w:eastAsia="es-MX"/>
                <w14:ligatures w14:val="none"/>
              </w:rPr>
            </w:pPr>
            <w:r w:rsidRPr="00590E99">
              <w:rPr>
                <w:rFonts w:ascii="Arial" w:eastAsia="Arial" w:hAnsi="Arial" w:cs="Arial"/>
                <w:kern w:val="0"/>
                <w:sz w:val="22"/>
                <w:szCs w:val="22"/>
                <w:lang w:eastAsia="es-MX"/>
                <w14:ligatures w14:val="none"/>
              </w:rPr>
              <w:t>[Nombre de la Institución Financiera].</w:t>
            </w:r>
          </w:p>
        </w:tc>
      </w:tr>
      <w:tr w:rsidR="00DA57A7" w14:paraId="556F840C" w14:textId="77777777" w:rsidTr="00D5613F">
        <w:trPr>
          <w:trHeight w:val="825"/>
        </w:trPr>
        <w:tc>
          <w:tcPr>
            <w:tcW w:w="2115"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723ACE8" w14:textId="77777777" w:rsidR="00590E99" w:rsidRPr="00590E99" w:rsidRDefault="00000000" w:rsidP="00590E99">
            <w:pPr>
              <w:spacing w:after="0" w:line="276" w:lineRule="auto"/>
              <w:jc w:val="both"/>
              <w:rPr>
                <w:rFonts w:ascii="Arial" w:eastAsia="Arial" w:hAnsi="Arial" w:cs="Arial"/>
                <w:kern w:val="0"/>
                <w:sz w:val="22"/>
                <w:szCs w:val="22"/>
                <w:lang w:eastAsia="es-MX"/>
                <w14:ligatures w14:val="none"/>
              </w:rPr>
            </w:pPr>
            <w:r w:rsidRPr="00590E99">
              <w:rPr>
                <w:rFonts w:ascii="Arial" w:eastAsia="Arial" w:hAnsi="Arial" w:cs="Arial"/>
                <w:kern w:val="0"/>
                <w:sz w:val="22"/>
                <w:szCs w:val="22"/>
                <w:lang w:eastAsia="es-MX"/>
                <w14:ligatures w14:val="none"/>
              </w:rPr>
              <w:t xml:space="preserve">Monto: </w:t>
            </w:r>
          </w:p>
        </w:tc>
        <w:tc>
          <w:tcPr>
            <w:tcW w:w="702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EAD30F9" w14:textId="77777777" w:rsidR="00590E99" w:rsidRPr="00590E99" w:rsidRDefault="00000000" w:rsidP="00590E99">
            <w:pPr>
              <w:spacing w:after="0" w:line="276" w:lineRule="auto"/>
              <w:jc w:val="both"/>
              <w:rPr>
                <w:rFonts w:ascii="Arial" w:eastAsia="Arial" w:hAnsi="Arial" w:cs="Arial"/>
                <w:kern w:val="0"/>
                <w:sz w:val="22"/>
                <w:szCs w:val="22"/>
                <w:lang w:eastAsia="es-MX"/>
                <w14:ligatures w14:val="none"/>
              </w:rPr>
            </w:pPr>
            <w:r w:rsidRPr="00590E99">
              <w:rPr>
                <w:rFonts w:ascii="Arial" w:eastAsia="Arial" w:hAnsi="Arial" w:cs="Arial"/>
                <w:kern w:val="0"/>
                <w:sz w:val="22"/>
                <w:szCs w:val="22"/>
                <w:lang w:eastAsia="es-MX"/>
                <w14:ligatures w14:val="none"/>
              </w:rPr>
              <w:t>[</w:t>
            </w:r>
            <w:r w:rsidRPr="00590E99">
              <w:rPr>
                <w:rFonts w:ascii="Arial" w:eastAsia="Arial" w:hAnsi="Arial" w:cs="Arial"/>
                <w:kern w:val="0"/>
                <w:sz w:val="22"/>
                <w:szCs w:val="22"/>
                <w:highlight w:val="yellow"/>
                <w:lang w:eastAsia="es-MX"/>
                <w14:ligatures w14:val="none"/>
              </w:rPr>
              <w:t>*</w:t>
            </w:r>
            <w:r w:rsidRPr="00590E99">
              <w:rPr>
                <w:rFonts w:ascii="Arial" w:eastAsia="Arial" w:hAnsi="Arial" w:cs="Arial"/>
                <w:kern w:val="0"/>
                <w:sz w:val="22"/>
                <w:szCs w:val="22"/>
                <w:lang w:eastAsia="es-MX"/>
                <w14:ligatures w14:val="none"/>
              </w:rPr>
              <w:t>].</w:t>
            </w:r>
          </w:p>
          <w:p w14:paraId="353CA17D" w14:textId="77777777" w:rsidR="00590E99" w:rsidRPr="00590E99" w:rsidRDefault="00590E99" w:rsidP="00590E99">
            <w:pPr>
              <w:spacing w:after="0" w:line="276" w:lineRule="auto"/>
              <w:jc w:val="both"/>
              <w:rPr>
                <w:rFonts w:ascii="Arial" w:eastAsia="Arial" w:hAnsi="Arial" w:cs="Arial"/>
                <w:kern w:val="0"/>
                <w:sz w:val="22"/>
                <w:szCs w:val="22"/>
                <w:lang w:eastAsia="es-MX"/>
                <w14:ligatures w14:val="none"/>
              </w:rPr>
            </w:pPr>
          </w:p>
          <w:p w14:paraId="720C1ADD" w14:textId="77777777" w:rsidR="00590E99" w:rsidRPr="00590E99" w:rsidRDefault="00590E99" w:rsidP="00590E99">
            <w:pPr>
              <w:spacing w:after="0" w:line="276" w:lineRule="auto"/>
              <w:jc w:val="both"/>
              <w:rPr>
                <w:rFonts w:ascii="Arial" w:eastAsia="Arial" w:hAnsi="Arial" w:cs="Arial"/>
                <w:kern w:val="0"/>
                <w:sz w:val="22"/>
                <w:szCs w:val="22"/>
                <w:lang w:eastAsia="es-MX"/>
                <w14:ligatures w14:val="none"/>
              </w:rPr>
            </w:pPr>
          </w:p>
        </w:tc>
      </w:tr>
      <w:tr w:rsidR="00DA57A7" w14:paraId="680E1E45" w14:textId="77777777" w:rsidTr="00D5613F">
        <w:trPr>
          <w:trHeight w:val="602"/>
        </w:trPr>
        <w:tc>
          <w:tcPr>
            <w:tcW w:w="2115"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229B2A0" w14:textId="77777777" w:rsidR="00590E99" w:rsidRPr="00590E99" w:rsidRDefault="00000000" w:rsidP="00590E99">
            <w:pPr>
              <w:spacing w:after="0" w:line="276" w:lineRule="auto"/>
              <w:jc w:val="both"/>
              <w:rPr>
                <w:rFonts w:ascii="Arial" w:eastAsia="Arial" w:hAnsi="Arial" w:cs="Arial"/>
                <w:kern w:val="0"/>
                <w:sz w:val="22"/>
                <w:szCs w:val="22"/>
                <w:lang w:eastAsia="es-MX"/>
                <w14:ligatures w14:val="none"/>
              </w:rPr>
            </w:pPr>
            <w:r w:rsidRPr="00590E99">
              <w:rPr>
                <w:rFonts w:ascii="Arial" w:eastAsia="Arial" w:hAnsi="Arial" w:cs="Arial"/>
                <w:kern w:val="0"/>
                <w:sz w:val="22"/>
                <w:szCs w:val="22"/>
                <w:lang w:eastAsia="es-MX"/>
                <w14:ligatures w14:val="none"/>
              </w:rPr>
              <w:t>Plazo:</w:t>
            </w:r>
          </w:p>
        </w:tc>
        <w:tc>
          <w:tcPr>
            <w:tcW w:w="702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4B67E0B" w14:textId="77777777" w:rsidR="00590E99" w:rsidRPr="00590E99" w:rsidRDefault="00000000" w:rsidP="00590E99">
            <w:pPr>
              <w:spacing w:after="0" w:line="276" w:lineRule="auto"/>
              <w:jc w:val="both"/>
              <w:rPr>
                <w:rFonts w:ascii="Arial" w:eastAsia="Arial" w:hAnsi="Arial" w:cs="Arial"/>
                <w:i/>
                <w:kern w:val="0"/>
                <w:sz w:val="22"/>
                <w:szCs w:val="22"/>
                <w:lang w:eastAsia="es-MX"/>
                <w14:ligatures w14:val="none"/>
              </w:rPr>
            </w:pPr>
            <w:r w:rsidRPr="00590E99">
              <w:rPr>
                <w:rFonts w:ascii="Arial" w:eastAsia="Arial" w:hAnsi="Arial" w:cs="Arial"/>
                <w:kern w:val="0"/>
                <w:sz w:val="22"/>
                <w:szCs w:val="22"/>
                <w:lang w:eastAsia="es-MX"/>
                <w14:ligatures w14:val="none"/>
              </w:rPr>
              <w:t>[</w:t>
            </w:r>
            <w:r w:rsidRPr="00590E99">
              <w:rPr>
                <w:rFonts w:ascii="Arial" w:eastAsia="Arial" w:hAnsi="Arial" w:cs="Arial"/>
                <w:kern w:val="0"/>
                <w:sz w:val="22"/>
                <w:szCs w:val="22"/>
                <w:highlight w:val="yellow"/>
                <w:lang w:eastAsia="es-MX"/>
                <w14:ligatures w14:val="none"/>
              </w:rPr>
              <w:t>*</w:t>
            </w:r>
            <w:r w:rsidRPr="00590E99">
              <w:rPr>
                <w:rFonts w:ascii="Arial" w:eastAsia="Arial" w:hAnsi="Arial" w:cs="Arial"/>
                <w:kern w:val="0"/>
                <w:sz w:val="22"/>
                <w:szCs w:val="22"/>
                <w:lang w:eastAsia="es-MX"/>
                <w14:ligatures w14:val="none"/>
              </w:rPr>
              <w:t>] ([</w:t>
            </w:r>
            <w:r w:rsidRPr="00590E99">
              <w:rPr>
                <w:rFonts w:ascii="Arial" w:eastAsia="Arial" w:hAnsi="Arial" w:cs="Arial"/>
                <w:kern w:val="0"/>
                <w:sz w:val="22"/>
                <w:szCs w:val="22"/>
                <w:highlight w:val="yellow"/>
                <w:lang w:eastAsia="es-MX"/>
                <w14:ligatures w14:val="none"/>
              </w:rPr>
              <w:t>*</w:t>
            </w:r>
            <w:r w:rsidRPr="00590E99">
              <w:rPr>
                <w:rFonts w:ascii="Arial" w:eastAsia="Arial" w:hAnsi="Arial" w:cs="Arial"/>
                <w:kern w:val="0"/>
                <w:sz w:val="22"/>
                <w:szCs w:val="22"/>
                <w:lang w:eastAsia="es-MX"/>
                <w14:ligatures w14:val="none"/>
              </w:rPr>
              <w:t>]) años, equivalente a ([</w:t>
            </w:r>
            <w:r w:rsidRPr="00590E99">
              <w:rPr>
                <w:rFonts w:ascii="Arial" w:eastAsia="Arial" w:hAnsi="Arial" w:cs="Arial"/>
                <w:kern w:val="0"/>
                <w:sz w:val="22"/>
                <w:szCs w:val="22"/>
                <w:highlight w:val="yellow"/>
                <w:lang w:eastAsia="es-MX"/>
                <w14:ligatures w14:val="none"/>
              </w:rPr>
              <w:t>*</w:t>
            </w:r>
            <w:r w:rsidRPr="00590E99">
              <w:rPr>
                <w:rFonts w:ascii="Arial" w:eastAsia="Arial" w:hAnsi="Arial" w:cs="Arial"/>
                <w:kern w:val="0"/>
                <w:sz w:val="22"/>
                <w:szCs w:val="22"/>
                <w:lang w:eastAsia="es-MX"/>
                <w14:ligatures w14:val="none"/>
              </w:rPr>
              <w:t>] [</w:t>
            </w:r>
            <w:r w:rsidRPr="00590E99">
              <w:rPr>
                <w:rFonts w:ascii="Arial" w:eastAsia="Arial" w:hAnsi="Arial" w:cs="Arial"/>
                <w:kern w:val="0"/>
                <w:sz w:val="22"/>
                <w:szCs w:val="22"/>
                <w:highlight w:val="yellow"/>
                <w:lang w:eastAsia="es-MX"/>
                <w14:ligatures w14:val="none"/>
              </w:rPr>
              <w:t>*</w:t>
            </w:r>
            <w:r w:rsidRPr="00590E99">
              <w:rPr>
                <w:rFonts w:ascii="Arial" w:eastAsia="Arial" w:hAnsi="Arial" w:cs="Arial"/>
                <w:kern w:val="0"/>
                <w:sz w:val="22"/>
                <w:szCs w:val="22"/>
                <w:lang w:eastAsia="es-MX"/>
                <w14:ligatures w14:val="none"/>
              </w:rPr>
              <w:t xml:space="preserve">] días), a partir de la celebración del Contrato de Crédito. </w:t>
            </w:r>
          </w:p>
        </w:tc>
      </w:tr>
      <w:tr w:rsidR="00DA57A7" w14:paraId="4F005DB8" w14:textId="77777777" w:rsidTr="00D5613F">
        <w:trPr>
          <w:trHeight w:val="602"/>
        </w:trPr>
        <w:tc>
          <w:tcPr>
            <w:tcW w:w="2115"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0AC38B4" w14:textId="77777777" w:rsidR="00590E99" w:rsidRPr="00590E99" w:rsidRDefault="00000000" w:rsidP="00590E99">
            <w:pPr>
              <w:spacing w:after="0" w:line="276" w:lineRule="auto"/>
              <w:jc w:val="both"/>
              <w:rPr>
                <w:rFonts w:ascii="Arial" w:eastAsia="Arial" w:hAnsi="Arial" w:cs="Arial"/>
                <w:kern w:val="0"/>
                <w:sz w:val="22"/>
                <w:szCs w:val="22"/>
                <w:lang w:eastAsia="es-MX"/>
                <w14:ligatures w14:val="none"/>
              </w:rPr>
            </w:pPr>
            <w:r w:rsidRPr="00590E99">
              <w:rPr>
                <w:rFonts w:ascii="Arial" w:eastAsia="Arial" w:hAnsi="Arial" w:cs="Arial"/>
                <w:kern w:val="0"/>
                <w:sz w:val="22"/>
                <w:szCs w:val="22"/>
                <w:lang w:eastAsia="es-MX"/>
                <w14:ligatures w14:val="none"/>
              </w:rPr>
              <w:t>Destino:</w:t>
            </w:r>
          </w:p>
        </w:tc>
        <w:tc>
          <w:tcPr>
            <w:tcW w:w="702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A07F9A0" w14:textId="77777777" w:rsidR="00590E99" w:rsidRPr="00590E99" w:rsidRDefault="00590E99" w:rsidP="00590E99">
            <w:pPr>
              <w:spacing w:after="0" w:line="276" w:lineRule="auto"/>
              <w:jc w:val="both"/>
              <w:rPr>
                <w:rFonts w:ascii="Arial" w:eastAsia="Arial" w:hAnsi="Arial" w:cs="Arial"/>
                <w:kern w:val="0"/>
                <w:sz w:val="22"/>
                <w:szCs w:val="22"/>
                <w:lang w:eastAsia="es-MX"/>
                <w14:ligatures w14:val="none"/>
              </w:rPr>
            </w:pPr>
          </w:p>
        </w:tc>
      </w:tr>
      <w:tr w:rsidR="00DA57A7" w14:paraId="4B6CB1DD" w14:textId="77777777" w:rsidTr="00D5613F">
        <w:trPr>
          <w:trHeight w:val="602"/>
        </w:trPr>
        <w:tc>
          <w:tcPr>
            <w:tcW w:w="2115"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C18450B" w14:textId="77777777" w:rsidR="007E7328" w:rsidRPr="00590E99" w:rsidRDefault="00000000" w:rsidP="00590E99">
            <w:pPr>
              <w:spacing w:after="0" w:line="276" w:lineRule="auto"/>
              <w:jc w:val="both"/>
              <w:rPr>
                <w:rFonts w:ascii="Arial" w:eastAsia="Arial" w:hAnsi="Arial" w:cs="Arial"/>
                <w:kern w:val="0"/>
                <w:sz w:val="22"/>
                <w:szCs w:val="22"/>
                <w:lang w:eastAsia="es-MX"/>
                <w14:ligatures w14:val="none"/>
              </w:rPr>
            </w:pPr>
            <w:r>
              <w:rPr>
                <w:rFonts w:ascii="Arial" w:eastAsia="Arial" w:hAnsi="Arial" w:cs="Arial"/>
                <w:kern w:val="0"/>
                <w:sz w:val="22"/>
                <w:szCs w:val="22"/>
                <w:lang w:eastAsia="es-MX"/>
                <w14:ligatures w14:val="none"/>
              </w:rPr>
              <w:t>Tasa de Interés Variable o Fija:</w:t>
            </w:r>
          </w:p>
        </w:tc>
        <w:tc>
          <w:tcPr>
            <w:tcW w:w="702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A1D91BC" w14:textId="77777777" w:rsidR="007E7328" w:rsidRPr="00590E99" w:rsidRDefault="007E7328" w:rsidP="00590E99">
            <w:pPr>
              <w:spacing w:after="0" w:line="276" w:lineRule="auto"/>
              <w:jc w:val="both"/>
              <w:rPr>
                <w:rFonts w:ascii="Arial" w:eastAsia="Arial" w:hAnsi="Arial" w:cs="Arial"/>
                <w:kern w:val="0"/>
                <w:sz w:val="22"/>
                <w:szCs w:val="22"/>
                <w:lang w:eastAsia="es-MX"/>
                <w14:ligatures w14:val="none"/>
              </w:rPr>
            </w:pPr>
          </w:p>
        </w:tc>
      </w:tr>
      <w:tr w:rsidR="00DA57A7" w14:paraId="4D07BFD6" w14:textId="77777777" w:rsidTr="00D5613F">
        <w:trPr>
          <w:trHeight w:val="2775"/>
        </w:trPr>
        <w:tc>
          <w:tcPr>
            <w:tcW w:w="2115"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3F03996" w14:textId="77777777" w:rsidR="007E7328" w:rsidRPr="00C65262" w:rsidRDefault="00000000" w:rsidP="00590E99">
            <w:pPr>
              <w:spacing w:after="0" w:line="276" w:lineRule="auto"/>
              <w:jc w:val="both"/>
              <w:rPr>
                <w:rFonts w:ascii="Arial" w:eastAsia="Arial" w:hAnsi="Arial" w:cs="Arial"/>
                <w:kern w:val="0"/>
                <w:sz w:val="22"/>
                <w:szCs w:val="22"/>
                <w:lang w:eastAsia="es-MX"/>
                <w14:ligatures w14:val="none"/>
              </w:rPr>
            </w:pPr>
            <w:r w:rsidRPr="00F64C8D">
              <w:rPr>
                <w:rFonts w:ascii="Arial" w:eastAsia="Arial" w:hAnsi="Arial" w:cs="Arial"/>
                <w:i/>
                <w:iCs/>
                <w:kern w:val="0"/>
                <w:sz w:val="22"/>
                <w:szCs w:val="22"/>
                <w:lang w:eastAsia="es-MX"/>
                <w14:ligatures w14:val="none"/>
              </w:rPr>
              <w:lastRenderedPageBreak/>
              <w:t xml:space="preserve">(De ofertarse una tasa de interés </w:t>
            </w:r>
            <w:r>
              <w:rPr>
                <w:rFonts w:ascii="Arial" w:eastAsia="Arial" w:hAnsi="Arial" w:cs="Arial"/>
                <w:i/>
                <w:iCs/>
                <w:kern w:val="0"/>
                <w:sz w:val="22"/>
                <w:szCs w:val="22"/>
                <w:lang w:eastAsia="es-MX"/>
                <w14:ligatures w14:val="none"/>
              </w:rPr>
              <w:t>fija)</w:t>
            </w:r>
            <w:r>
              <w:rPr>
                <w:rFonts w:ascii="Arial" w:eastAsia="Arial" w:hAnsi="Arial" w:cs="Arial"/>
                <w:kern w:val="0"/>
                <w:sz w:val="22"/>
                <w:szCs w:val="22"/>
                <w:lang w:eastAsia="es-MX"/>
                <w14:ligatures w14:val="none"/>
              </w:rPr>
              <w:t xml:space="preserve"> Nivel Base de Tasa Fija:</w:t>
            </w:r>
            <w:r>
              <w:rPr>
                <w:rFonts w:ascii="Arial" w:eastAsia="Arial" w:hAnsi="Arial" w:cs="Arial"/>
                <w:i/>
                <w:iCs/>
                <w:kern w:val="0"/>
                <w:sz w:val="22"/>
                <w:szCs w:val="22"/>
                <w:lang w:eastAsia="es-MX"/>
                <w14:ligatures w14:val="none"/>
              </w:rPr>
              <w:t xml:space="preserve"> </w:t>
            </w:r>
          </w:p>
        </w:tc>
        <w:tc>
          <w:tcPr>
            <w:tcW w:w="702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1DE0236" w14:textId="77777777" w:rsidR="007E7328" w:rsidRPr="00590E99" w:rsidRDefault="007E7328" w:rsidP="00590E99">
            <w:pPr>
              <w:spacing w:after="0" w:line="276" w:lineRule="auto"/>
              <w:jc w:val="both"/>
              <w:rPr>
                <w:rFonts w:ascii="Arial" w:eastAsia="Arial" w:hAnsi="Arial" w:cs="Arial"/>
                <w:kern w:val="0"/>
                <w:sz w:val="22"/>
                <w:szCs w:val="22"/>
                <w:lang w:eastAsia="es-MX"/>
                <w14:ligatures w14:val="none"/>
              </w:rPr>
            </w:pPr>
          </w:p>
        </w:tc>
      </w:tr>
      <w:tr w:rsidR="00DA57A7" w14:paraId="45983096" w14:textId="77777777" w:rsidTr="00D5613F">
        <w:trPr>
          <w:trHeight w:val="2775"/>
        </w:trPr>
        <w:tc>
          <w:tcPr>
            <w:tcW w:w="2115"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D575600" w14:textId="77777777" w:rsidR="00590E99" w:rsidRPr="00590E99" w:rsidRDefault="00000000" w:rsidP="00590E99">
            <w:pPr>
              <w:spacing w:after="0" w:line="276" w:lineRule="auto"/>
              <w:jc w:val="both"/>
              <w:rPr>
                <w:rFonts w:ascii="Arial" w:eastAsia="Arial" w:hAnsi="Arial" w:cs="Arial"/>
                <w:kern w:val="0"/>
                <w:sz w:val="22"/>
                <w:szCs w:val="22"/>
                <w:lang w:eastAsia="es-MX"/>
                <w14:ligatures w14:val="none"/>
              </w:rPr>
            </w:pPr>
            <w:r w:rsidRPr="00C65262">
              <w:rPr>
                <w:rFonts w:ascii="Arial" w:eastAsia="Arial" w:hAnsi="Arial" w:cs="Arial"/>
                <w:i/>
                <w:iCs/>
                <w:kern w:val="0"/>
                <w:sz w:val="22"/>
                <w:szCs w:val="22"/>
                <w:lang w:eastAsia="es-MX"/>
                <w14:ligatures w14:val="none"/>
              </w:rPr>
              <w:t>(De ofertarse una tasa de interés variable)</w:t>
            </w:r>
            <w:r>
              <w:rPr>
                <w:rFonts w:ascii="Arial" w:eastAsia="Arial" w:hAnsi="Arial" w:cs="Arial"/>
                <w:kern w:val="0"/>
                <w:sz w:val="22"/>
                <w:szCs w:val="22"/>
                <w:lang w:eastAsia="es-MX"/>
                <w14:ligatures w14:val="none"/>
              </w:rPr>
              <w:t xml:space="preserve"> </w:t>
            </w:r>
            <w:r w:rsidR="00D5613F" w:rsidRPr="00590E99">
              <w:rPr>
                <w:rFonts w:ascii="Arial" w:eastAsia="Arial" w:hAnsi="Arial" w:cs="Arial"/>
                <w:kern w:val="0"/>
                <w:sz w:val="22"/>
                <w:szCs w:val="22"/>
                <w:lang w:eastAsia="es-MX"/>
                <w14:ligatures w14:val="none"/>
              </w:rPr>
              <w:t>Sobretasa o margen aplicable al nivel de calificación</w:t>
            </w:r>
            <w:r>
              <w:rPr>
                <w:rFonts w:ascii="Arial" w:eastAsia="Arial" w:hAnsi="Arial" w:cs="Arial"/>
                <w:kern w:val="0"/>
                <w:sz w:val="22"/>
                <w:szCs w:val="22"/>
                <w:lang w:eastAsia="es-MX"/>
                <w14:ligatures w14:val="none"/>
              </w:rPr>
              <w:t>:</w:t>
            </w:r>
          </w:p>
        </w:tc>
        <w:tc>
          <w:tcPr>
            <w:tcW w:w="702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A8B0EFF" w14:textId="77777777" w:rsidR="00590E99" w:rsidRPr="00590E99" w:rsidRDefault="00000000" w:rsidP="00590E99">
            <w:pPr>
              <w:spacing w:after="0" w:line="276" w:lineRule="auto"/>
              <w:jc w:val="both"/>
              <w:rPr>
                <w:rFonts w:ascii="Arial" w:eastAsia="Arial" w:hAnsi="Arial" w:cs="Arial"/>
                <w:kern w:val="0"/>
                <w:sz w:val="22"/>
                <w:szCs w:val="22"/>
                <w:lang w:eastAsia="es-MX"/>
                <w14:ligatures w14:val="none"/>
              </w:rPr>
            </w:pPr>
            <w:r w:rsidRPr="00590E99">
              <w:rPr>
                <w:rFonts w:ascii="Arial" w:eastAsia="Arial" w:hAnsi="Arial" w:cs="Arial"/>
                <w:kern w:val="0"/>
                <w:sz w:val="22"/>
                <w:szCs w:val="22"/>
                <w:lang w:eastAsia="es-MX"/>
                <w14:ligatures w14:val="none"/>
              </w:rPr>
              <w:t>[</w:t>
            </w:r>
            <w:r w:rsidRPr="00590E99">
              <w:rPr>
                <w:rFonts w:ascii="Arial" w:eastAsia="Arial" w:hAnsi="Arial" w:cs="Arial"/>
                <w:kern w:val="0"/>
                <w:sz w:val="22"/>
                <w:szCs w:val="22"/>
                <w:highlight w:val="yellow"/>
                <w:lang w:eastAsia="es-MX"/>
                <w14:ligatures w14:val="none"/>
              </w:rPr>
              <w:t>*</w:t>
            </w:r>
            <w:r w:rsidRPr="00590E99">
              <w:rPr>
                <w:rFonts w:ascii="Arial" w:eastAsia="Arial" w:hAnsi="Arial" w:cs="Arial"/>
                <w:kern w:val="0"/>
                <w:sz w:val="22"/>
                <w:szCs w:val="22"/>
                <w:lang w:eastAsia="es-MX"/>
                <w14:ligatures w14:val="none"/>
              </w:rPr>
              <w:t>].</w:t>
            </w:r>
          </w:p>
          <w:p w14:paraId="23CB340A" w14:textId="77777777" w:rsidR="00590E99" w:rsidRPr="00590E99" w:rsidRDefault="00590E99" w:rsidP="00590E99">
            <w:pPr>
              <w:spacing w:after="0" w:line="276" w:lineRule="auto"/>
              <w:jc w:val="both"/>
              <w:rPr>
                <w:rFonts w:ascii="Arial" w:eastAsia="Arial" w:hAnsi="Arial" w:cs="Arial"/>
                <w:kern w:val="0"/>
                <w:sz w:val="22"/>
                <w:szCs w:val="22"/>
                <w:lang w:eastAsia="es-MX"/>
                <w14:ligatures w14:val="none"/>
              </w:rPr>
            </w:pPr>
          </w:p>
        </w:tc>
      </w:tr>
      <w:tr w:rsidR="00DA57A7" w14:paraId="41A2142A" w14:textId="77777777" w:rsidTr="00D5613F">
        <w:trPr>
          <w:trHeight w:val="2775"/>
        </w:trPr>
        <w:tc>
          <w:tcPr>
            <w:tcW w:w="2115"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A8CB2DF" w14:textId="77777777" w:rsidR="00590E99" w:rsidRPr="00590E99" w:rsidRDefault="00000000" w:rsidP="00590E99">
            <w:pPr>
              <w:spacing w:after="0" w:line="276" w:lineRule="auto"/>
              <w:jc w:val="both"/>
              <w:rPr>
                <w:rFonts w:ascii="Arial" w:eastAsia="Arial" w:hAnsi="Arial" w:cs="Arial"/>
                <w:i/>
                <w:kern w:val="0"/>
                <w:sz w:val="22"/>
                <w:szCs w:val="22"/>
                <w:lang w:eastAsia="es-MX"/>
                <w14:ligatures w14:val="none"/>
              </w:rPr>
            </w:pPr>
            <w:r w:rsidRPr="00590E99">
              <w:rPr>
                <w:rFonts w:ascii="Arial" w:eastAsia="Arial" w:hAnsi="Arial" w:cs="Arial"/>
                <w:i/>
                <w:kern w:val="0"/>
                <w:sz w:val="22"/>
                <w:szCs w:val="22"/>
                <w:lang w:eastAsia="es-MX"/>
                <w14:ligatures w14:val="none"/>
              </w:rPr>
              <w:t>(en su caso, condiciones suspensivas para la disposición, adicionales a las previstas en los Modelos de Contratos de Crédito):</w:t>
            </w:r>
          </w:p>
        </w:tc>
        <w:tc>
          <w:tcPr>
            <w:tcW w:w="702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2B700B0" w14:textId="77777777" w:rsidR="00590E99" w:rsidRPr="00590E99" w:rsidRDefault="00000000" w:rsidP="00590E99">
            <w:pPr>
              <w:spacing w:after="0" w:line="276" w:lineRule="auto"/>
              <w:jc w:val="both"/>
              <w:rPr>
                <w:rFonts w:ascii="Arial" w:eastAsia="Arial" w:hAnsi="Arial" w:cs="Arial"/>
                <w:kern w:val="0"/>
                <w:sz w:val="22"/>
                <w:szCs w:val="22"/>
                <w:lang w:eastAsia="es-MX"/>
                <w14:ligatures w14:val="none"/>
              </w:rPr>
            </w:pPr>
            <w:r w:rsidRPr="00590E99">
              <w:rPr>
                <w:rFonts w:ascii="Arial" w:eastAsia="Arial" w:hAnsi="Arial" w:cs="Arial"/>
                <w:kern w:val="0"/>
                <w:sz w:val="22"/>
                <w:szCs w:val="22"/>
                <w:lang w:eastAsia="es-MX"/>
                <w14:ligatures w14:val="none"/>
              </w:rPr>
              <w:t>[</w:t>
            </w:r>
            <w:r w:rsidRPr="00590E99">
              <w:rPr>
                <w:rFonts w:ascii="Arial" w:eastAsia="Arial" w:hAnsi="Arial" w:cs="Arial"/>
                <w:kern w:val="0"/>
                <w:sz w:val="22"/>
                <w:szCs w:val="22"/>
                <w:highlight w:val="yellow"/>
                <w:lang w:eastAsia="es-MX"/>
                <w14:ligatures w14:val="none"/>
              </w:rPr>
              <w:t>*</w:t>
            </w:r>
            <w:r w:rsidRPr="00590E99">
              <w:rPr>
                <w:rFonts w:ascii="Arial" w:eastAsia="Arial" w:hAnsi="Arial" w:cs="Arial"/>
                <w:kern w:val="0"/>
                <w:sz w:val="22"/>
                <w:szCs w:val="22"/>
                <w:lang w:eastAsia="es-MX"/>
                <w14:ligatures w14:val="none"/>
              </w:rPr>
              <w:t>].</w:t>
            </w:r>
          </w:p>
        </w:tc>
      </w:tr>
    </w:tbl>
    <w:p w14:paraId="01EC59E5" w14:textId="77777777" w:rsidR="00590E99" w:rsidRPr="00590E99" w:rsidRDefault="00590E99" w:rsidP="00590E99">
      <w:pPr>
        <w:spacing w:after="0" w:line="276" w:lineRule="auto"/>
        <w:rPr>
          <w:rFonts w:ascii="Arial" w:eastAsia="Arial" w:hAnsi="Arial" w:cs="Arial"/>
          <w:b/>
          <w:kern w:val="0"/>
          <w:sz w:val="22"/>
          <w:szCs w:val="22"/>
          <w:lang w:eastAsia="es-MX"/>
          <w14:ligatures w14:val="none"/>
        </w:rPr>
      </w:pPr>
    </w:p>
    <w:p w14:paraId="63414702" w14:textId="77777777" w:rsidR="00590E99" w:rsidRPr="00590E99" w:rsidRDefault="00000000" w:rsidP="00590E99">
      <w:pPr>
        <w:spacing w:after="0" w:line="276" w:lineRule="auto"/>
        <w:jc w:val="center"/>
        <w:rPr>
          <w:rFonts w:ascii="Arial" w:eastAsia="Arial" w:hAnsi="Arial" w:cs="Arial"/>
          <w:b/>
          <w:kern w:val="0"/>
          <w:sz w:val="22"/>
          <w:szCs w:val="22"/>
          <w:lang w:eastAsia="es-MX"/>
          <w14:ligatures w14:val="none"/>
        </w:rPr>
      </w:pPr>
      <w:r w:rsidRPr="00590E99">
        <w:rPr>
          <w:rFonts w:ascii="Arial" w:eastAsia="Arial" w:hAnsi="Arial" w:cs="Arial"/>
          <w:b/>
          <w:kern w:val="0"/>
          <w:sz w:val="22"/>
          <w:szCs w:val="22"/>
          <w:lang w:eastAsia="es-MX"/>
          <w14:ligatures w14:val="none"/>
        </w:rPr>
        <w:t>Tabla de revisión y ajuste de la sobretasa o margen aplicable</w:t>
      </w:r>
      <w:r w:rsidR="007E7328">
        <w:rPr>
          <w:rFonts w:ascii="Arial" w:eastAsia="Arial" w:hAnsi="Arial" w:cs="Arial"/>
          <w:b/>
          <w:kern w:val="0"/>
          <w:sz w:val="22"/>
          <w:szCs w:val="22"/>
          <w:lang w:eastAsia="es-MX"/>
          <w14:ligatures w14:val="none"/>
        </w:rPr>
        <w:t xml:space="preserve"> o de tasa fija</w:t>
      </w:r>
      <w:r w:rsidRPr="00590E99">
        <w:rPr>
          <w:rFonts w:ascii="Arial" w:eastAsia="Arial" w:hAnsi="Arial" w:cs="Arial"/>
          <w:b/>
          <w:kern w:val="0"/>
          <w:sz w:val="22"/>
          <w:szCs w:val="22"/>
          <w:lang w:eastAsia="es-MX"/>
          <w14:ligatures w14:val="none"/>
        </w:rPr>
        <w:t>:</w:t>
      </w:r>
    </w:p>
    <w:p w14:paraId="5A4E06FF" w14:textId="77777777" w:rsidR="00590E99" w:rsidRPr="00590E99" w:rsidRDefault="00590E99" w:rsidP="00590E99">
      <w:pPr>
        <w:spacing w:after="0" w:line="276" w:lineRule="auto"/>
        <w:jc w:val="both"/>
        <w:rPr>
          <w:rFonts w:ascii="Arial" w:eastAsia="Arial" w:hAnsi="Arial" w:cs="Arial"/>
          <w:kern w:val="0"/>
          <w:sz w:val="22"/>
          <w:szCs w:val="22"/>
          <w:lang w:eastAsia="es-MX"/>
          <w14:ligatures w14:val="none"/>
        </w:rPr>
      </w:pPr>
    </w:p>
    <w:p w14:paraId="7E6F4B5C" w14:textId="77777777" w:rsidR="00590E99" w:rsidRPr="00590E99" w:rsidRDefault="00000000" w:rsidP="00590E99">
      <w:pPr>
        <w:spacing w:after="0" w:line="276" w:lineRule="auto"/>
        <w:jc w:val="both"/>
        <w:rPr>
          <w:rFonts w:ascii="Arial" w:eastAsia="Arial" w:hAnsi="Arial" w:cs="Arial"/>
          <w:kern w:val="0"/>
          <w:sz w:val="22"/>
          <w:szCs w:val="22"/>
          <w:lang w:eastAsia="es-MX"/>
          <w14:ligatures w14:val="none"/>
        </w:rPr>
      </w:pPr>
      <w:r w:rsidRPr="00590E99">
        <w:rPr>
          <w:rFonts w:ascii="Arial" w:eastAsia="Arial" w:hAnsi="Arial" w:cs="Arial"/>
          <w:kern w:val="0"/>
          <w:sz w:val="22"/>
          <w:szCs w:val="22"/>
          <w:lang w:eastAsia="es-MX"/>
          <w14:ligatures w14:val="none"/>
        </w:rPr>
        <w:t>A continuación, se detalla la tabla de revisión y ajuste de la sobretasa</w:t>
      </w:r>
      <w:r w:rsidR="007E7328">
        <w:rPr>
          <w:rFonts w:ascii="Arial" w:eastAsia="Arial" w:hAnsi="Arial" w:cs="Arial"/>
          <w:kern w:val="0"/>
          <w:sz w:val="22"/>
          <w:szCs w:val="22"/>
          <w:lang w:eastAsia="es-MX"/>
          <w14:ligatures w14:val="none"/>
        </w:rPr>
        <w:t xml:space="preserve"> o</w:t>
      </w:r>
      <w:r w:rsidRPr="00590E99">
        <w:rPr>
          <w:rFonts w:ascii="Arial" w:eastAsia="Arial" w:hAnsi="Arial" w:cs="Arial"/>
          <w:kern w:val="0"/>
          <w:sz w:val="22"/>
          <w:szCs w:val="22"/>
          <w:lang w:eastAsia="es-MX"/>
          <w14:ligatures w14:val="none"/>
        </w:rPr>
        <w:t xml:space="preserve"> margen aplicable</w:t>
      </w:r>
      <w:r w:rsidR="007E7328">
        <w:rPr>
          <w:rFonts w:ascii="Arial" w:eastAsia="Arial" w:hAnsi="Arial" w:cs="Arial"/>
          <w:kern w:val="0"/>
          <w:sz w:val="22"/>
          <w:szCs w:val="22"/>
          <w:lang w:eastAsia="es-MX"/>
          <w14:ligatures w14:val="none"/>
        </w:rPr>
        <w:t xml:space="preserve"> o de tasa de interés fija</w:t>
      </w:r>
      <w:r w:rsidRPr="00590E99">
        <w:rPr>
          <w:rFonts w:ascii="Arial" w:eastAsia="Arial" w:hAnsi="Arial" w:cs="Arial"/>
          <w:kern w:val="0"/>
          <w:sz w:val="22"/>
          <w:szCs w:val="22"/>
          <w:lang w:eastAsia="es-MX"/>
          <w14:ligatures w14:val="none"/>
        </w:rPr>
        <w:t xml:space="preserve"> a los diferentes niveles de riesgo en función de las calificaciones del crédito y de SADM:</w:t>
      </w:r>
    </w:p>
    <w:p w14:paraId="0EAB09C0" w14:textId="77777777" w:rsidR="00590E99" w:rsidRPr="00590E99" w:rsidRDefault="00590E99" w:rsidP="00590E99">
      <w:pPr>
        <w:spacing w:after="0" w:line="276" w:lineRule="auto"/>
        <w:jc w:val="both"/>
        <w:rPr>
          <w:rFonts w:ascii="Arial" w:eastAsia="Arial" w:hAnsi="Arial" w:cs="Arial"/>
          <w:kern w:val="0"/>
          <w:sz w:val="22"/>
          <w:szCs w:val="22"/>
          <w:lang w:eastAsia="es-MX"/>
          <w14:ligatures w14:val="none"/>
        </w:rPr>
      </w:pPr>
    </w:p>
    <w:tbl>
      <w:tblPr>
        <w:tblW w:w="8540" w:type="dxa"/>
        <w:tblBorders>
          <w:top w:val="nil"/>
          <w:left w:val="nil"/>
          <w:bottom w:val="nil"/>
          <w:right w:val="nil"/>
          <w:insideH w:val="nil"/>
          <w:insideV w:val="nil"/>
        </w:tblBorders>
        <w:tblLayout w:type="fixed"/>
        <w:tblLook w:val="0600" w:firstRow="0" w:lastRow="0" w:firstColumn="0" w:lastColumn="0" w:noHBand="1" w:noVBand="1"/>
      </w:tblPr>
      <w:tblGrid>
        <w:gridCol w:w="990"/>
        <w:gridCol w:w="1095"/>
        <w:gridCol w:w="1380"/>
        <w:gridCol w:w="1365"/>
        <w:gridCol w:w="2090"/>
        <w:gridCol w:w="1620"/>
      </w:tblGrid>
      <w:tr w:rsidR="00DA57A7" w14:paraId="3873F844" w14:textId="77777777" w:rsidTr="00D5613F">
        <w:trPr>
          <w:trHeight w:val="1239"/>
        </w:trPr>
        <w:tc>
          <w:tcPr>
            <w:tcW w:w="6920" w:type="dxa"/>
            <w:gridSpan w:val="5"/>
            <w:tcBorders>
              <w:top w:val="single" w:sz="8" w:space="0" w:color="000000"/>
              <w:left w:val="single" w:sz="8" w:space="0" w:color="000000"/>
              <w:bottom w:val="single" w:sz="8" w:space="0" w:color="000000"/>
              <w:right w:val="single" w:sz="8" w:space="0" w:color="000000"/>
            </w:tcBorders>
            <w:shd w:val="clear" w:color="auto" w:fill="F2F2F2"/>
            <w:tcMar>
              <w:top w:w="0" w:type="dxa"/>
              <w:left w:w="100" w:type="dxa"/>
              <w:bottom w:w="0" w:type="dxa"/>
              <w:right w:w="100" w:type="dxa"/>
            </w:tcMar>
          </w:tcPr>
          <w:p w14:paraId="52A1D202" w14:textId="77777777" w:rsidR="00590E99" w:rsidRPr="00590E99" w:rsidRDefault="00000000" w:rsidP="00590E99">
            <w:pPr>
              <w:spacing w:after="0" w:line="276" w:lineRule="auto"/>
              <w:jc w:val="center"/>
              <w:rPr>
                <w:rFonts w:ascii="Arial" w:eastAsia="Arial" w:hAnsi="Arial" w:cs="Arial"/>
                <w:b/>
                <w:kern w:val="0"/>
                <w:sz w:val="16"/>
                <w:szCs w:val="16"/>
                <w:lang w:eastAsia="es-MX"/>
                <w14:ligatures w14:val="none"/>
              </w:rPr>
            </w:pPr>
            <w:r w:rsidRPr="00590E99">
              <w:rPr>
                <w:rFonts w:ascii="Arial" w:eastAsia="Arial" w:hAnsi="Arial" w:cs="Arial"/>
                <w:b/>
                <w:kern w:val="0"/>
                <w:sz w:val="16"/>
                <w:szCs w:val="16"/>
                <w:lang w:eastAsia="es-MX"/>
                <w14:ligatures w14:val="none"/>
              </w:rPr>
              <w:lastRenderedPageBreak/>
              <w:t>Calificaciones del crédito</w:t>
            </w:r>
          </w:p>
        </w:tc>
        <w:tc>
          <w:tcPr>
            <w:tcW w:w="1620" w:type="dxa"/>
            <w:vMerge w:val="restart"/>
            <w:tcBorders>
              <w:top w:val="single" w:sz="8" w:space="0" w:color="000000"/>
              <w:left w:val="nil"/>
              <w:bottom w:val="single" w:sz="8" w:space="0" w:color="000000"/>
              <w:right w:val="single" w:sz="8" w:space="0" w:color="000000"/>
            </w:tcBorders>
            <w:shd w:val="clear" w:color="auto" w:fill="F2F2F2"/>
            <w:tcMar>
              <w:top w:w="0" w:type="dxa"/>
              <w:left w:w="100" w:type="dxa"/>
              <w:bottom w:w="0" w:type="dxa"/>
              <w:right w:w="100" w:type="dxa"/>
            </w:tcMar>
          </w:tcPr>
          <w:p w14:paraId="2502669A" w14:textId="77777777" w:rsidR="00590E99" w:rsidRPr="00590E99" w:rsidRDefault="00000000" w:rsidP="00590E99">
            <w:pPr>
              <w:spacing w:after="0" w:line="276" w:lineRule="auto"/>
              <w:jc w:val="center"/>
              <w:rPr>
                <w:rFonts w:ascii="Arial" w:eastAsia="Arial" w:hAnsi="Arial" w:cs="Arial"/>
                <w:b/>
                <w:kern w:val="0"/>
                <w:sz w:val="16"/>
                <w:szCs w:val="16"/>
                <w:lang w:eastAsia="es-MX"/>
                <w14:ligatures w14:val="none"/>
              </w:rPr>
            </w:pPr>
            <w:r w:rsidRPr="00590E99">
              <w:rPr>
                <w:rFonts w:ascii="Arial" w:eastAsia="Arial" w:hAnsi="Arial" w:cs="Arial"/>
                <w:b/>
                <w:kern w:val="0"/>
                <w:sz w:val="16"/>
                <w:szCs w:val="16"/>
                <w:lang w:eastAsia="es-MX"/>
                <w14:ligatures w14:val="none"/>
              </w:rPr>
              <w:t xml:space="preserve">Sobretasa o margen aplicable </w:t>
            </w:r>
          </w:p>
          <w:p w14:paraId="6826ED8C" w14:textId="77777777" w:rsidR="00590E99" w:rsidRPr="00590E99" w:rsidRDefault="00000000" w:rsidP="00590E99">
            <w:pPr>
              <w:spacing w:after="0" w:line="276" w:lineRule="auto"/>
              <w:jc w:val="center"/>
              <w:rPr>
                <w:rFonts w:ascii="Arial" w:eastAsia="Arial" w:hAnsi="Arial" w:cs="Arial"/>
                <w:b/>
                <w:kern w:val="0"/>
                <w:sz w:val="16"/>
                <w:szCs w:val="16"/>
                <w:lang w:eastAsia="es-MX"/>
                <w14:ligatures w14:val="none"/>
              </w:rPr>
            </w:pPr>
            <w:r>
              <w:rPr>
                <w:rFonts w:ascii="Arial" w:eastAsia="Arial" w:hAnsi="Arial" w:cs="Arial"/>
                <w:b/>
                <w:kern w:val="0"/>
                <w:sz w:val="16"/>
                <w:szCs w:val="16"/>
                <w:lang w:eastAsia="es-MX"/>
                <w14:ligatures w14:val="none"/>
              </w:rPr>
              <w:t>o Tasa Fija</w:t>
            </w:r>
            <w:r w:rsidR="004153C7">
              <w:rPr>
                <w:rFonts w:ascii="Arial" w:eastAsia="Arial" w:hAnsi="Arial" w:cs="Arial"/>
                <w:b/>
                <w:kern w:val="0"/>
                <w:sz w:val="16"/>
                <w:szCs w:val="16"/>
                <w:lang w:eastAsia="es-MX"/>
                <w14:ligatures w14:val="none"/>
              </w:rPr>
              <w:t xml:space="preserve"> </w:t>
            </w:r>
            <w:r w:rsidR="004153C7" w:rsidRPr="00162791">
              <w:rPr>
                <w:rFonts w:ascii="Arial" w:eastAsia="Arial" w:hAnsi="Arial" w:cs="Arial"/>
                <w:b/>
                <w:kern w:val="0"/>
                <w:sz w:val="16"/>
                <w:szCs w:val="16"/>
                <w:lang w:eastAsia="es-MX"/>
                <w14:ligatures w14:val="none"/>
              </w:rPr>
              <w:t>aplicable</w:t>
            </w:r>
          </w:p>
        </w:tc>
      </w:tr>
      <w:tr w:rsidR="00DA57A7" w14:paraId="7AE7DB7D" w14:textId="77777777" w:rsidTr="00D5613F">
        <w:trPr>
          <w:trHeight w:val="1905"/>
        </w:trPr>
        <w:tc>
          <w:tcPr>
            <w:tcW w:w="990" w:type="dxa"/>
            <w:tcBorders>
              <w:top w:val="nil"/>
              <w:left w:val="single" w:sz="8" w:space="0" w:color="000000"/>
              <w:bottom w:val="single" w:sz="8" w:space="0" w:color="000000"/>
              <w:right w:val="single" w:sz="8" w:space="0" w:color="000000"/>
            </w:tcBorders>
            <w:shd w:val="clear" w:color="auto" w:fill="F2F2F2"/>
            <w:tcMar>
              <w:top w:w="0" w:type="dxa"/>
              <w:left w:w="100" w:type="dxa"/>
              <w:bottom w:w="0" w:type="dxa"/>
              <w:right w:w="100" w:type="dxa"/>
            </w:tcMar>
          </w:tcPr>
          <w:p w14:paraId="54080B77" w14:textId="77777777" w:rsidR="00590E99" w:rsidRPr="00590E99" w:rsidRDefault="00000000" w:rsidP="00590E99">
            <w:pPr>
              <w:spacing w:after="0" w:line="276" w:lineRule="auto"/>
              <w:jc w:val="center"/>
              <w:rPr>
                <w:rFonts w:ascii="Arial" w:eastAsia="Arial" w:hAnsi="Arial" w:cs="Arial"/>
                <w:b/>
                <w:kern w:val="0"/>
                <w:sz w:val="16"/>
                <w:szCs w:val="16"/>
                <w:lang w:eastAsia="es-MX"/>
                <w14:ligatures w14:val="none"/>
              </w:rPr>
            </w:pPr>
            <w:r w:rsidRPr="00590E99">
              <w:rPr>
                <w:rFonts w:ascii="Arial" w:eastAsia="Arial" w:hAnsi="Arial" w:cs="Arial"/>
                <w:b/>
                <w:kern w:val="0"/>
                <w:sz w:val="16"/>
                <w:szCs w:val="16"/>
                <w:lang w:eastAsia="es-MX"/>
                <w14:ligatures w14:val="none"/>
              </w:rPr>
              <w:t>S &amp; P</w:t>
            </w:r>
          </w:p>
        </w:tc>
        <w:tc>
          <w:tcPr>
            <w:tcW w:w="1095" w:type="dxa"/>
            <w:tcBorders>
              <w:top w:val="nil"/>
              <w:left w:val="nil"/>
              <w:bottom w:val="single" w:sz="8" w:space="0" w:color="000000"/>
              <w:right w:val="single" w:sz="8" w:space="0" w:color="000000"/>
            </w:tcBorders>
            <w:shd w:val="clear" w:color="auto" w:fill="F2F2F2"/>
            <w:tcMar>
              <w:top w:w="0" w:type="dxa"/>
              <w:left w:w="100" w:type="dxa"/>
              <w:bottom w:w="0" w:type="dxa"/>
              <w:right w:w="100" w:type="dxa"/>
            </w:tcMar>
          </w:tcPr>
          <w:p w14:paraId="53ACA800" w14:textId="77777777" w:rsidR="00590E99" w:rsidRPr="00590E99" w:rsidRDefault="00000000" w:rsidP="00590E99">
            <w:pPr>
              <w:spacing w:after="0" w:line="276" w:lineRule="auto"/>
              <w:jc w:val="center"/>
              <w:rPr>
                <w:rFonts w:ascii="Arial" w:eastAsia="Arial" w:hAnsi="Arial" w:cs="Arial"/>
                <w:b/>
                <w:kern w:val="0"/>
                <w:sz w:val="16"/>
                <w:szCs w:val="16"/>
                <w:lang w:eastAsia="es-MX"/>
                <w14:ligatures w14:val="none"/>
              </w:rPr>
            </w:pPr>
            <w:r w:rsidRPr="00590E99">
              <w:rPr>
                <w:rFonts w:ascii="Arial" w:eastAsia="Arial" w:hAnsi="Arial" w:cs="Arial"/>
                <w:b/>
                <w:kern w:val="0"/>
                <w:sz w:val="16"/>
                <w:szCs w:val="16"/>
                <w:lang w:eastAsia="es-MX"/>
                <w14:ligatures w14:val="none"/>
              </w:rPr>
              <w:t>Moody’s</w:t>
            </w:r>
          </w:p>
        </w:tc>
        <w:tc>
          <w:tcPr>
            <w:tcW w:w="1380" w:type="dxa"/>
            <w:tcBorders>
              <w:top w:val="nil"/>
              <w:left w:val="nil"/>
              <w:bottom w:val="single" w:sz="8" w:space="0" w:color="000000"/>
              <w:right w:val="single" w:sz="8" w:space="0" w:color="000000"/>
            </w:tcBorders>
            <w:shd w:val="clear" w:color="auto" w:fill="F2F2F2"/>
            <w:tcMar>
              <w:top w:w="0" w:type="dxa"/>
              <w:left w:w="100" w:type="dxa"/>
              <w:bottom w:w="0" w:type="dxa"/>
              <w:right w:w="100" w:type="dxa"/>
            </w:tcMar>
          </w:tcPr>
          <w:p w14:paraId="21B5E4B0" w14:textId="77777777" w:rsidR="00590E99" w:rsidRPr="00590E99" w:rsidRDefault="00000000" w:rsidP="00590E99">
            <w:pPr>
              <w:spacing w:after="0" w:line="276" w:lineRule="auto"/>
              <w:rPr>
                <w:rFonts w:ascii="Arial" w:eastAsia="Arial" w:hAnsi="Arial" w:cs="Arial"/>
                <w:b/>
                <w:kern w:val="0"/>
                <w:sz w:val="16"/>
                <w:szCs w:val="16"/>
                <w:lang w:eastAsia="es-MX"/>
                <w14:ligatures w14:val="none"/>
              </w:rPr>
            </w:pPr>
            <w:r w:rsidRPr="00590E99">
              <w:rPr>
                <w:rFonts w:ascii="Arial" w:eastAsia="Arial" w:hAnsi="Arial" w:cs="Arial"/>
                <w:b/>
                <w:kern w:val="0"/>
                <w:sz w:val="16"/>
                <w:szCs w:val="16"/>
                <w:lang w:eastAsia="es-MX"/>
                <w14:ligatures w14:val="none"/>
              </w:rPr>
              <w:t>FITCH</w:t>
            </w:r>
          </w:p>
        </w:tc>
        <w:tc>
          <w:tcPr>
            <w:tcW w:w="1365" w:type="dxa"/>
            <w:tcBorders>
              <w:top w:val="nil"/>
              <w:left w:val="nil"/>
              <w:bottom w:val="single" w:sz="8" w:space="0" w:color="000000"/>
              <w:right w:val="single" w:sz="8" w:space="0" w:color="000000"/>
            </w:tcBorders>
            <w:shd w:val="clear" w:color="auto" w:fill="F2F2F2"/>
            <w:tcMar>
              <w:top w:w="0" w:type="dxa"/>
              <w:left w:w="100" w:type="dxa"/>
              <w:bottom w:w="0" w:type="dxa"/>
              <w:right w:w="100" w:type="dxa"/>
            </w:tcMar>
          </w:tcPr>
          <w:p w14:paraId="5A1301DD" w14:textId="77777777" w:rsidR="00590E99" w:rsidRPr="00590E99" w:rsidRDefault="00000000" w:rsidP="00590E99">
            <w:pPr>
              <w:spacing w:after="0" w:line="276" w:lineRule="auto"/>
              <w:rPr>
                <w:rFonts w:ascii="Arial" w:eastAsia="Arial" w:hAnsi="Arial" w:cs="Arial"/>
                <w:b/>
                <w:kern w:val="0"/>
                <w:sz w:val="16"/>
                <w:szCs w:val="16"/>
                <w:lang w:eastAsia="es-MX"/>
                <w14:ligatures w14:val="none"/>
              </w:rPr>
            </w:pPr>
            <w:r w:rsidRPr="00590E99">
              <w:rPr>
                <w:rFonts w:ascii="Arial" w:eastAsia="Arial" w:hAnsi="Arial" w:cs="Arial"/>
                <w:b/>
                <w:kern w:val="0"/>
                <w:sz w:val="16"/>
                <w:szCs w:val="16"/>
                <w:lang w:eastAsia="es-MX"/>
                <w14:ligatures w14:val="none"/>
              </w:rPr>
              <w:t>HR</w:t>
            </w:r>
          </w:p>
          <w:p w14:paraId="263B5188" w14:textId="77777777" w:rsidR="00590E99" w:rsidRPr="00590E99" w:rsidRDefault="00000000" w:rsidP="00590E99">
            <w:pPr>
              <w:spacing w:after="0" w:line="276" w:lineRule="auto"/>
              <w:rPr>
                <w:rFonts w:ascii="Arial" w:eastAsia="Arial" w:hAnsi="Arial" w:cs="Arial"/>
                <w:b/>
                <w:kern w:val="0"/>
                <w:sz w:val="16"/>
                <w:szCs w:val="16"/>
                <w:lang w:eastAsia="es-MX"/>
                <w14:ligatures w14:val="none"/>
              </w:rPr>
            </w:pPr>
            <w:r w:rsidRPr="00590E99">
              <w:rPr>
                <w:rFonts w:ascii="Arial" w:eastAsia="Arial" w:hAnsi="Arial" w:cs="Arial"/>
                <w:b/>
                <w:kern w:val="0"/>
                <w:sz w:val="16"/>
                <w:szCs w:val="16"/>
                <w:lang w:eastAsia="es-MX"/>
                <w14:ligatures w14:val="none"/>
              </w:rPr>
              <w:t>RATINGS</w:t>
            </w:r>
          </w:p>
        </w:tc>
        <w:tc>
          <w:tcPr>
            <w:tcW w:w="2090" w:type="dxa"/>
            <w:tcBorders>
              <w:top w:val="nil"/>
              <w:left w:val="nil"/>
              <w:bottom w:val="single" w:sz="8" w:space="0" w:color="000000"/>
              <w:right w:val="single" w:sz="8" w:space="0" w:color="000000"/>
            </w:tcBorders>
            <w:shd w:val="clear" w:color="auto" w:fill="F2F2F2"/>
            <w:tcMar>
              <w:top w:w="0" w:type="dxa"/>
              <w:left w:w="100" w:type="dxa"/>
              <w:bottom w:w="0" w:type="dxa"/>
              <w:right w:w="100" w:type="dxa"/>
            </w:tcMar>
          </w:tcPr>
          <w:p w14:paraId="4CB38481" w14:textId="77777777" w:rsidR="00590E99" w:rsidRPr="00590E99" w:rsidRDefault="00000000" w:rsidP="00590E99">
            <w:pPr>
              <w:spacing w:after="0" w:line="276" w:lineRule="auto"/>
              <w:rPr>
                <w:rFonts w:ascii="Arial" w:eastAsia="Arial" w:hAnsi="Arial" w:cs="Arial"/>
                <w:b/>
                <w:kern w:val="0"/>
                <w:sz w:val="16"/>
                <w:szCs w:val="16"/>
                <w:lang w:eastAsia="es-MX"/>
                <w14:ligatures w14:val="none"/>
              </w:rPr>
            </w:pPr>
            <w:r w:rsidRPr="00590E99">
              <w:rPr>
                <w:rFonts w:ascii="Arial" w:eastAsia="Arial" w:hAnsi="Arial" w:cs="Arial"/>
                <w:b/>
                <w:kern w:val="0"/>
                <w:sz w:val="16"/>
                <w:szCs w:val="16"/>
                <w:lang w:eastAsia="es-MX"/>
                <w14:ligatures w14:val="none"/>
              </w:rPr>
              <w:t>VERUM</w:t>
            </w:r>
          </w:p>
        </w:tc>
        <w:tc>
          <w:tcPr>
            <w:tcW w:w="1620" w:type="dxa"/>
            <w:vMerge/>
            <w:tcBorders>
              <w:top w:val="single" w:sz="8" w:space="0" w:color="000000"/>
              <w:left w:val="nil"/>
              <w:bottom w:val="single" w:sz="8" w:space="0" w:color="000000"/>
              <w:right w:val="single" w:sz="8" w:space="0" w:color="000000"/>
            </w:tcBorders>
            <w:shd w:val="clear" w:color="auto" w:fill="F2F2F2"/>
            <w:tcMar>
              <w:top w:w="0" w:type="dxa"/>
              <w:left w:w="100" w:type="dxa"/>
              <w:bottom w:w="0" w:type="dxa"/>
              <w:right w:w="100" w:type="dxa"/>
            </w:tcMar>
          </w:tcPr>
          <w:p w14:paraId="1DEF2840" w14:textId="77777777" w:rsidR="00590E99" w:rsidRPr="00590E99" w:rsidRDefault="00590E99" w:rsidP="00590E99">
            <w:pPr>
              <w:widowControl w:val="0"/>
              <w:pBdr>
                <w:top w:val="nil"/>
                <w:left w:val="nil"/>
                <w:bottom w:val="nil"/>
                <w:right w:val="nil"/>
                <w:between w:val="nil"/>
              </w:pBdr>
              <w:spacing w:after="0" w:line="276" w:lineRule="auto"/>
              <w:rPr>
                <w:rFonts w:ascii="Arial" w:eastAsia="Arial" w:hAnsi="Arial" w:cs="Arial"/>
                <w:b/>
                <w:kern w:val="0"/>
                <w:sz w:val="16"/>
                <w:szCs w:val="16"/>
                <w:lang w:eastAsia="es-MX"/>
                <w14:ligatures w14:val="none"/>
              </w:rPr>
            </w:pPr>
          </w:p>
        </w:tc>
      </w:tr>
      <w:tr w:rsidR="00DA57A7" w14:paraId="368C27A6" w14:textId="77777777" w:rsidTr="00D5613F">
        <w:trPr>
          <w:trHeight w:val="285"/>
        </w:trPr>
        <w:tc>
          <w:tcPr>
            <w:tcW w:w="990" w:type="dxa"/>
            <w:tcBorders>
              <w:top w:val="nil"/>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14:paraId="2BDC4C1D" w14:textId="77777777" w:rsidR="00590E99" w:rsidRPr="00590E99" w:rsidRDefault="00000000" w:rsidP="00590E99">
            <w:pPr>
              <w:spacing w:after="0" w:line="276" w:lineRule="auto"/>
              <w:jc w:val="center"/>
              <w:rPr>
                <w:rFonts w:ascii="Arial" w:eastAsia="Arial" w:hAnsi="Arial" w:cs="Arial"/>
                <w:kern w:val="0"/>
                <w:sz w:val="16"/>
                <w:szCs w:val="16"/>
                <w:lang w:eastAsia="es-MX"/>
                <w14:ligatures w14:val="none"/>
              </w:rPr>
            </w:pPr>
            <w:r w:rsidRPr="00590E99">
              <w:rPr>
                <w:rFonts w:ascii="Arial" w:eastAsia="Arial" w:hAnsi="Arial" w:cs="Arial"/>
                <w:kern w:val="0"/>
                <w:sz w:val="16"/>
                <w:szCs w:val="16"/>
                <w:lang w:eastAsia="es-MX"/>
                <w14:ligatures w14:val="none"/>
              </w:rPr>
              <w:t>mxAAA</w:t>
            </w:r>
          </w:p>
        </w:tc>
        <w:tc>
          <w:tcPr>
            <w:tcW w:w="1095"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3D60B832" w14:textId="77777777" w:rsidR="00590E99" w:rsidRPr="00590E99" w:rsidRDefault="00000000" w:rsidP="00590E99">
            <w:pPr>
              <w:spacing w:after="0" w:line="276" w:lineRule="auto"/>
              <w:jc w:val="center"/>
              <w:rPr>
                <w:rFonts w:ascii="Arial" w:eastAsia="Arial" w:hAnsi="Arial" w:cs="Arial"/>
                <w:kern w:val="0"/>
                <w:sz w:val="16"/>
                <w:szCs w:val="16"/>
                <w:lang w:eastAsia="es-MX"/>
                <w14:ligatures w14:val="none"/>
              </w:rPr>
            </w:pPr>
            <w:r w:rsidRPr="00590E99">
              <w:rPr>
                <w:rFonts w:ascii="Arial" w:eastAsia="Arial" w:hAnsi="Arial" w:cs="Arial"/>
                <w:kern w:val="0"/>
                <w:sz w:val="16"/>
                <w:szCs w:val="16"/>
                <w:lang w:eastAsia="es-MX"/>
                <w14:ligatures w14:val="none"/>
              </w:rPr>
              <w:t>Aaa.mx</w:t>
            </w:r>
          </w:p>
        </w:tc>
        <w:tc>
          <w:tcPr>
            <w:tcW w:w="1380"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428730D4" w14:textId="77777777" w:rsidR="00590E99" w:rsidRPr="00590E99" w:rsidRDefault="00000000" w:rsidP="00590E99">
            <w:pPr>
              <w:spacing w:after="0" w:line="276" w:lineRule="auto"/>
              <w:jc w:val="center"/>
              <w:rPr>
                <w:rFonts w:ascii="Arial" w:eastAsia="Arial" w:hAnsi="Arial" w:cs="Arial"/>
                <w:kern w:val="0"/>
                <w:sz w:val="16"/>
                <w:szCs w:val="16"/>
                <w:lang w:eastAsia="es-MX"/>
                <w14:ligatures w14:val="none"/>
              </w:rPr>
            </w:pPr>
            <w:r w:rsidRPr="00590E99">
              <w:rPr>
                <w:rFonts w:ascii="Arial" w:eastAsia="Arial" w:hAnsi="Arial" w:cs="Arial"/>
                <w:kern w:val="0"/>
                <w:sz w:val="16"/>
                <w:szCs w:val="16"/>
                <w:lang w:eastAsia="es-MX"/>
                <w14:ligatures w14:val="none"/>
              </w:rPr>
              <w:t>AAA (mex)</w:t>
            </w:r>
          </w:p>
        </w:tc>
        <w:tc>
          <w:tcPr>
            <w:tcW w:w="1365"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5769069D" w14:textId="77777777" w:rsidR="00590E99" w:rsidRPr="00590E99" w:rsidRDefault="00000000" w:rsidP="00590E99">
            <w:pPr>
              <w:spacing w:after="0" w:line="276" w:lineRule="auto"/>
              <w:jc w:val="center"/>
              <w:rPr>
                <w:rFonts w:ascii="Arial" w:eastAsia="Arial" w:hAnsi="Arial" w:cs="Arial"/>
                <w:kern w:val="0"/>
                <w:sz w:val="16"/>
                <w:szCs w:val="16"/>
                <w:lang w:eastAsia="es-MX"/>
                <w14:ligatures w14:val="none"/>
              </w:rPr>
            </w:pPr>
            <w:r w:rsidRPr="00590E99">
              <w:rPr>
                <w:rFonts w:ascii="Arial" w:eastAsia="Arial" w:hAnsi="Arial" w:cs="Arial"/>
                <w:kern w:val="0"/>
                <w:sz w:val="16"/>
                <w:szCs w:val="16"/>
                <w:lang w:eastAsia="es-MX"/>
                <w14:ligatures w14:val="none"/>
              </w:rPr>
              <w:t>HR AAA</w:t>
            </w:r>
          </w:p>
        </w:tc>
        <w:tc>
          <w:tcPr>
            <w:tcW w:w="2090"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732F8774" w14:textId="77777777" w:rsidR="00590E99" w:rsidRPr="00590E99" w:rsidRDefault="00000000" w:rsidP="00590E99">
            <w:pPr>
              <w:spacing w:after="0" w:line="276" w:lineRule="auto"/>
              <w:jc w:val="center"/>
              <w:rPr>
                <w:rFonts w:ascii="Arial" w:eastAsia="Arial" w:hAnsi="Arial" w:cs="Arial"/>
                <w:kern w:val="0"/>
                <w:sz w:val="16"/>
                <w:szCs w:val="16"/>
                <w:lang w:eastAsia="es-MX"/>
                <w14:ligatures w14:val="none"/>
              </w:rPr>
            </w:pPr>
            <w:r w:rsidRPr="00590E99">
              <w:rPr>
                <w:rFonts w:ascii="Arial" w:eastAsia="Arial" w:hAnsi="Arial" w:cs="Arial"/>
                <w:kern w:val="0"/>
                <w:sz w:val="16"/>
                <w:szCs w:val="16"/>
                <w:lang w:eastAsia="es-MX"/>
                <w14:ligatures w14:val="none"/>
              </w:rPr>
              <w:t>AAA/M</w:t>
            </w:r>
          </w:p>
        </w:tc>
        <w:tc>
          <w:tcPr>
            <w:tcW w:w="1620"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016C65DB" w14:textId="77777777" w:rsidR="00590E99" w:rsidRPr="00590E99" w:rsidRDefault="00000000" w:rsidP="00590E99">
            <w:pPr>
              <w:spacing w:after="0" w:line="276" w:lineRule="auto"/>
              <w:jc w:val="center"/>
              <w:rPr>
                <w:rFonts w:ascii="Arial" w:eastAsia="Arial" w:hAnsi="Arial" w:cs="Arial"/>
                <w:kern w:val="0"/>
                <w:sz w:val="16"/>
                <w:szCs w:val="16"/>
                <w:lang w:eastAsia="es-MX"/>
                <w14:ligatures w14:val="none"/>
              </w:rPr>
            </w:pPr>
            <w:r w:rsidRPr="00590E99">
              <w:rPr>
                <w:rFonts w:ascii="Arial" w:eastAsia="Arial" w:hAnsi="Arial" w:cs="Arial"/>
                <w:kern w:val="0"/>
                <w:sz w:val="16"/>
                <w:szCs w:val="16"/>
                <w:lang w:eastAsia="es-MX"/>
                <w14:ligatures w14:val="none"/>
              </w:rPr>
              <w:t>[[</w:t>
            </w:r>
            <w:r w:rsidRPr="00590E99">
              <w:rPr>
                <w:rFonts w:ascii="Arial" w:eastAsia="Arial" w:hAnsi="Arial" w:cs="Arial"/>
                <w:kern w:val="0"/>
                <w:sz w:val="16"/>
                <w:szCs w:val="16"/>
                <w:highlight w:val="yellow"/>
                <w:lang w:eastAsia="es-MX"/>
                <w14:ligatures w14:val="none"/>
              </w:rPr>
              <w:t>*</w:t>
            </w:r>
            <w:r w:rsidRPr="00590E99">
              <w:rPr>
                <w:rFonts w:ascii="Arial" w:eastAsia="Arial" w:hAnsi="Arial" w:cs="Arial"/>
                <w:kern w:val="0"/>
                <w:sz w:val="16"/>
                <w:szCs w:val="16"/>
                <w:lang w:eastAsia="es-MX"/>
                <w14:ligatures w14:val="none"/>
              </w:rPr>
              <w:t>]] %</w:t>
            </w:r>
          </w:p>
        </w:tc>
      </w:tr>
      <w:tr w:rsidR="00DA57A7" w14:paraId="3D98FE1B" w14:textId="77777777" w:rsidTr="00D5613F">
        <w:trPr>
          <w:trHeight w:val="360"/>
        </w:trPr>
        <w:tc>
          <w:tcPr>
            <w:tcW w:w="990" w:type="dxa"/>
            <w:tcBorders>
              <w:top w:val="nil"/>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14:paraId="39D9E1C6" w14:textId="77777777" w:rsidR="00590E99" w:rsidRPr="00590E99" w:rsidRDefault="00000000" w:rsidP="00590E99">
            <w:pPr>
              <w:spacing w:after="0" w:line="276" w:lineRule="auto"/>
              <w:jc w:val="center"/>
              <w:rPr>
                <w:rFonts w:ascii="Arial" w:eastAsia="Arial" w:hAnsi="Arial" w:cs="Arial"/>
                <w:kern w:val="0"/>
                <w:sz w:val="16"/>
                <w:szCs w:val="16"/>
                <w:lang w:eastAsia="es-MX"/>
                <w14:ligatures w14:val="none"/>
              </w:rPr>
            </w:pPr>
            <w:r w:rsidRPr="00590E99">
              <w:rPr>
                <w:rFonts w:ascii="Arial" w:eastAsia="Arial" w:hAnsi="Arial" w:cs="Arial"/>
                <w:kern w:val="0"/>
                <w:sz w:val="16"/>
                <w:szCs w:val="16"/>
                <w:lang w:eastAsia="es-MX"/>
                <w14:ligatures w14:val="none"/>
              </w:rPr>
              <w:t>mxAA+</w:t>
            </w:r>
          </w:p>
        </w:tc>
        <w:tc>
          <w:tcPr>
            <w:tcW w:w="1095"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76B73F65" w14:textId="77777777" w:rsidR="00590E99" w:rsidRPr="00590E99" w:rsidRDefault="00000000" w:rsidP="00590E99">
            <w:pPr>
              <w:spacing w:after="0" w:line="276" w:lineRule="auto"/>
              <w:jc w:val="center"/>
              <w:rPr>
                <w:rFonts w:ascii="Arial" w:eastAsia="Arial" w:hAnsi="Arial" w:cs="Arial"/>
                <w:kern w:val="0"/>
                <w:sz w:val="16"/>
                <w:szCs w:val="16"/>
                <w:lang w:eastAsia="es-MX"/>
                <w14:ligatures w14:val="none"/>
              </w:rPr>
            </w:pPr>
            <w:r w:rsidRPr="00590E99">
              <w:rPr>
                <w:rFonts w:ascii="Arial" w:eastAsia="Arial" w:hAnsi="Arial" w:cs="Arial"/>
                <w:kern w:val="0"/>
                <w:sz w:val="16"/>
                <w:szCs w:val="16"/>
                <w:lang w:eastAsia="es-MX"/>
                <w14:ligatures w14:val="none"/>
              </w:rPr>
              <w:t>Aa1.mx</w:t>
            </w:r>
          </w:p>
        </w:tc>
        <w:tc>
          <w:tcPr>
            <w:tcW w:w="1380"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6F07F70E" w14:textId="77777777" w:rsidR="00590E99" w:rsidRPr="00590E99" w:rsidRDefault="00000000" w:rsidP="00590E99">
            <w:pPr>
              <w:spacing w:after="0" w:line="276" w:lineRule="auto"/>
              <w:jc w:val="center"/>
              <w:rPr>
                <w:rFonts w:ascii="Arial" w:eastAsia="Arial" w:hAnsi="Arial" w:cs="Arial"/>
                <w:kern w:val="0"/>
                <w:sz w:val="16"/>
                <w:szCs w:val="16"/>
                <w:lang w:eastAsia="es-MX"/>
                <w14:ligatures w14:val="none"/>
              </w:rPr>
            </w:pPr>
            <w:r w:rsidRPr="00590E99">
              <w:rPr>
                <w:rFonts w:ascii="Arial" w:eastAsia="Arial" w:hAnsi="Arial" w:cs="Arial"/>
                <w:kern w:val="0"/>
                <w:sz w:val="16"/>
                <w:szCs w:val="16"/>
                <w:lang w:eastAsia="es-MX"/>
                <w14:ligatures w14:val="none"/>
              </w:rPr>
              <w:t>AA+ (mex)</w:t>
            </w:r>
          </w:p>
        </w:tc>
        <w:tc>
          <w:tcPr>
            <w:tcW w:w="1365"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1F9DCD8C" w14:textId="77777777" w:rsidR="00590E99" w:rsidRPr="00590E99" w:rsidRDefault="00000000" w:rsidP="00590E99">
            <w:pPr>
              <w:spacing w:after="0" w:line="276" w:lineRule="auto"/>
              <w:jc w:val="center"/>
              <w:rPr>
                <w:rFonts w:ascii="Arial" w:eastAsia="Arial" w:hAnsi="Arial" w:cs="Arial"/>
                <w:kern w:val="0"/>
                <w:sz w:val="16"/>
                <w:szCs w:val="16"/>
                <w:lang w:eastAsia="es-MX"/>
                <w14:ligatures w14:val="none"/>
              </w:rPr>
            </w:pPr>
            <w:r w:rsidRPr="00590E99">
              <w:rPr>
                <w:rFonts w:ascii="Arial" w:eastAsia="Arial" w:hAnsi="Arial" w:cs="Arial"/>
                <w:kern w:val="0"/>
                <w:sz w:val="16"/>
                <w:szCs w:val="16"/>
                <w:lang w:eastAsia="es-MX"/>
                <w14:ligatures w14:val="none"/>
              </w:rPr>
              <w:t>HR AA+</w:t>
            </w:r>
          </w:p>
        </w:tc>
        <w:tc>
          <w:tcPr>
            <w:tcW w:w="2090"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03E33846" w14:textId="77777777" w:rsidR="00590E99" w:rsidRPr="00590E99" w:rsidRDefault="00000000" w:rsidP="00590E99">
            <w:pPr>
              <w:spacing w:after="0" w:line="276" w:lineRule="auto"/>
              <w:jc w:val="center"/>
              <w:rPr>
                <w:rFonts w:ascii="Arial" w:eastAsia="Arial" w:hAnsi="Arial" w:cs="Arial"/>
                <w:kern w:val="0"/>
                <w:sz w:val="16"/>
                <w:szCs w:val="16"/>
                <w:lang w:eastAsia="es-MX"/>
                <w14:ligatures w14:val="none"/>
              </w:rPr>
            </w:pPr>
            <w:r w:rsidRPr="00590E99">
              <w:rPr>
                <w:rFonts w:ascii="Arial" w:eastAsia="Arial" w:hAnsi="Arial" w:cs="Arial"/>
                <w:kern w:val="0"/>
                <w:sz w:val="16"/>
                <w:szCs w:val="16"/>
                <w:lang w:eastAsia="es-MX"/>
                <w14:ligatures w14:val="none"/>
              </w:rPr>
              <w:t>AA +/M</w:t>
            </w:r>
          </w:p>
        </w:tc>
        <w:tc>
          <w:tcPr>
            <w:tcW w:w="1620"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3EF282B0" w14:textId="77777777" w:rsidR="00590E99" w:rsidRPr="00590E99" w:rsidRDefault="00000000" w:rsidP="00590E99">
            <w:pPr>
              <w:spacing w:after="0" w:line="276" w:lineRule="auto"/>
              <w:jc w:val="center"/>
              <w:rPr>
                <w:rFonts w:ascii="Arial" w:eastAsia="Arial" w:hAnsi="Arial" w:cs="Arial"/>
                <w:kern w:val="0"/>
                <w:sz w:val="16"/>
                <w:szCs w:val="16"/>
                <w:lang w:eastAsia="es-MX"/>
                <w14:ligatures w14:val="none"/>
              </w:rPr>
            </w:pPr>
            <w:r w:rsidRPr="00590E99">
              <w:rPr>
                <w:rFonts w:ascii="Arial" w:eastAsia="Arial" w:hAnsi="Arial" w:cs="Arial"/>
                <w:kern w:val="0"/>
                <w:sz w:val="16"/>
                <w:szCs w:val="16"/>
                <w:lang w:eastAsia="es-MX"/>
                <w14:ligatures w14:val="none"/>
              </w:rPr>
              <w:t>[[</w:t>
            </w:r>
            <w:r w:rsidRPr="00590E99">
              <w:rPr>
                <w:rFonts w:ascii="Arial" w:eastAsia="Arial" w:hAnsi="Arial" w:cs="Arial"/>
                <w:kern w:val="0"/>
                <w:sz w:val="16"/>
                <w:szCs w:val="16"/>
                <w:highlight w:val="yellow"/>
                <w:lang w:eastAsia="es-MX"/>
                <w14:ligatures w14:val="none"/>
              </w:rPr>
              <w:t>*</w:t>
            </w:r>
            <w:r w:rsidRPr="00590E99">
              <w:rPr>
                <w:rFonts w:ascii="Arial" w:eastAsia="Arial" w:hAnsi="Arial" w:cs="Arial"/>
                <w:kern w:val="0"/>
                <w:sz w:val="16"/>
                <w:szCs w:val="16"/>
                <w:lang w:eastAsia="es-MX"/>
                <w14:ligatures w14:val="none"/>
              </w:rPr>
              <w:t>]] %</w:t>
            </w:r>
          </w:p>
          <w:p w14:paraId="788C68AF" w14:textId="77777777" w:rsidR="00590E99" w:rsidRPr="00590E99" w:rsidRDefault="00590E99" w:rsidP="00590E99">
            <w:pPr>
              <w:spacing w:after="0" w:line="276" w:lineRule="auto"/>
              <w:jc w:val="center"/>
              <w:rPr>
                <w:rFonts w:ascii="Arial" w:eastAsia="Arial" w:hAnsi="Arial" w:cs="Arial"/>
                <w:kern w:val="0"/>
                <w:sz w:val="16"/>
                <w:szCs w:val="16"/>
                <w:lang w:eastAsia="es-MX"/>
                <w14:ligatures w14:val="none"/>
              </w:rPr>
            </w:pPr>
          </w:p>
        </w:tc>
      </w:tr>
      <w:tr w:rsidR="00DA57A7" w14:paraId="79B33131" w14:textId="77777777" w:rsidTr="00D5613F">
        <w:trPr>
          <w:trHeight w:val="300"/>
        </w:trPr>
        <w:tc>
          <w:tcPr>
            <w:tcW w:w="990" w:type="dxa"/>
            <w:tcBorders>
              <w:top w:val="nil"/>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14:paraId="31592774" w14:textId="77777777" w:rsidR="00590E99" w:rsidRPr="00590E99" w:rsidRDefault="00000000" w:rsidP="00590E99">
            <w:pPr>
              <w:spacing w:after="0" w:line="276" w:lineRule="auto"/>
              <w:jc w:val="center"/>
              <w:rPr>
                <w:rFonts w:ascii="Arial" w:eastAsia="Arial" w:hAnsi="Arial" w:cs="Arial"/>
                <w:kern w:val="0"/>
                <w:sz w:val="16"/>
                <w:szCs w:val="16"/>
                <w:lang w:eastAsia="es-MX"/>
                <w14:ligatures w14:val="none"/>
              </w:rPr>
            </w:pPr>
            <w:r w:rsidRPr="00590E99">
              <w:rPr>
                <w:rFonts w:ascii="Arial" w:eastAsia="Arial" w:hAnsi="Arial" w:cs="Arial"/>
                <w:kern w:val="0"/>
                <w:sz w:val="16"/>
                <w:szCs w:val="16"/>
                <w:lang w:eastAsia="es-MX"/>
                <w14:ligatures w14:val="none"/>
              </w:rPr>
              <w:t>mxAA</w:t>
            </w:r>
          </w:p>
        </w:tc>
        <w:tc>
          <w:tcPr>
            <w:tcW w:w="1095"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444B5838" w14:textId="77777777" w:rsidR="00590E99" w:rsidRPr="00590E99" w:rsidRDefault="00000000" w:rsidP="00590E99">
            <w:pPr>
              <w:spacing w:after="0" w:line="276" w:lineRule="auto"/>
              <w:jc w:val="center"/>
              <w:rPr>
                <w:rFonts w:ascii="Arial" w:eastAsia="Arial" w:hAnsi="Arial" w:cs="Arial"/>
                <w:kern w:val="0"/>
                <w:sz w:val="16"/>
                <w:szCs w:val="16"/>
                <w:lang w:eastAsia="es-MX"/>
                <w14:ligatures w14:val="none"/>
              </w:rPr>
            </w:pPr>
            <w:r w:rsidRPr="00590E99">
              <w:rPr>
                <w:rFonts w:ascii="Arial" w:eastAsia="Arial" w:hAnsi="Arial" w:cs="Arial"/>
                <w:kern w:val="0"/>
                <w:sz w:val="16"/>
                <w:szCs w:val="16"/>
                <w:lang w:eastAsia="es-MX"/>
                <w14:ligatures w14:val="none"/>
              </w:rPr>
              <w:t>Aa2.mx</w:t>
            </w:r>
          </w:p>
        </w:tc>
        <w:tc>
          <w:tcPr>
            <w:tcW w:w="1380"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19843656" w14:textId="77777777" w:rsidR="00590E99" w:rsidRPr="00590E99" w:rsidRDefault="00000000" w:rsidP="00590E99">
            <w:pPr>
              <w:spacing w:after="0" w:line="276" w:lineRule="auto"/>
              <w:jc w:val="center"/>
              <w:rPr>
                <w:rFonts w:ascii="Arial" w:eastAsia="Arial" w:hAnsi="Arial" w:cs="Arial"/>
                <w:kern w:val="0"/>
                <w:sz w:val="16"/>
                <w:szCs w:val="16"/>
                <w:lang w:eastAsia="es-MX"/>
                <w14:ligatures w14:val="none"/>
              </w:rPr>
            </w:pPr>
            <w:r w:rsidRPr="00590E99">
              <w:rPr>
                <w:rFonts w:ascii="Arial" w:eastAsia="Arial" w:hAnsi="Arial" w:cs="Arial"/>
                <w:kern w:val="0"/>
                <w:sz w:val="16"/>
                <w:szCs w:val="16"/>
                <w:lang w:eastAsia="es-MX"/>
                <w14:ligatures w14:val="none"/>
              </w:rPr>
              <w:t>AA (mex)</w:t>
            </w:r>
          </w:p>
        </w:tc>
        <w:tc>
          <w:tcPr>
            <w:tcW w:w="1365"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00253A7E" w14:textId="77777777" w:rsidR="00590E99" w:rsidRPr="00590E99" w:rsidRDefault="00000000" w:rsidP="00590E99">
            <w:pPr>
              <w:spacing w:after="0" w:line="276" w:lineRule="auto"/>
              <w:jc w:val="center"/>
              <w:rPr>
                <w:rFonts w:ascii="Arial" w:eastAsia="Arial" w:hAnsi="Arial" w:cs="Arial"/>
                <w:kern w:val="0"/>
                <w:sz w:val="16"/>
                <w:szCs w:val="16"/>
                <w:lang w:eastAsia="es-MX"/>
                <w14:ligatures w14:val="none"/>
              </w:rPr>
            </w:pPr>
            <w:r w:rsidRPr="00590E99">
              <w:rPr>
                <w:rFonts w:ascii="Arial" w:eastAsia="Arial" w:hAnsi="Arial" w:cs="Arial"/>
                <w:kern w:val="0"/>
                <w:sz w:val="16"/>
                <w:szCs w:val="16"/>
                <w:lang w:eastAsia="es-MX"/>
                <w14:ligatures w14:val="none"/>
              </w:rPr>
              <w:t>HR AA</w:t>
            </w:r>
          </w:p>
        </w:tc>
        <w:tc>
          <w:tcPr>
            <w:tcW w:w="2090"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2F419E8F" w14:textId="77777777" w:rsidR="00590E99" w:rsidRPr="00590E99" w:rsidRDefault="00000000" w:rsidP="00590E99">
            <w:pPr>
              <w:spacing w:after="0" w:line="276" w:lineRule="auto"/>
              <w:jc w:val="center"/>
              <w:rPr>
                <w:rFonts w:ascii="Arial" w:eastAsia="Arial" w:hAnsi="Arial" w:cs="Arial"/>
                <w:kern w:val="0"/>
                <w:sz w:val="16"/>
                <w:szCs w:val="16"/>
                <w:lang w:eastAsia="es-MX"/>
                <w14:ligatures w14:val="none"/>
              </w:rPr>
            </w:pPr>
            <w:r w:rsidRPr="00590E99">
              <w:rPr>
                <w:rFonts w:ascii="Arial" w:eastAsia="Arial" w:hAnsi="Arial" w:cs="Arial"/>
                <w:kern w:val="0"/>
                <w:sz w:val="16"/>
                <w:szCs w:val="16"/>
                <w:lang w:eastAsia="es-MX"/>
                <w14:ligatures w14:val="none"/>
              </w:rPr>
              <w:t>AA/M</w:t>
            </w:r>
          </w:p>
        </w:tc>
        <w:tc>
          <w:tcPr>
            <w:tcW w:w="1620"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036CA2EE" w14:textId="77777777" w:rsidR="00590E99" w:rsidRPr="00590E99" w:rsidRDefault="00000000" w:rsidP="00590E99">
            <w:pPr>
              <w:spacing w:after="0" w:line="276" w:lineRule="auto"/>
              <w:jc w:val="center"/>
              <w:rPr>
                <w:rFonts w:ascii="Arial" w:eastAsia="Arial" w:hAnsi="Arial" w:cs="Arial"/>
                <w:kern w:val="0"/>
                <w:sz w:val="16"/>
                <w:szCs w:val="16"/>
                <w:lang w:eastAsia="es-MX"/>
                <w14:ligatures w14:val="none"/>
              </w:rPr>
            </w:pPr>
            <w:r w:rsidRPr="00590E99">
              <w:rPr>
                <w:rFonts w:ascii="Arial" w:eastAsia="Arial" w:hAnsi="Arial" w:cs="Arial"/>
                <w:kern w:val="0"/>
                <w:sz w:val="16"/>
                <w:szCs w:val="16"/>
                <w:lang w:eastAsia="es-MX"/>
                <w14:ligatures w14:val="none"/>
              </w:rPr>
              <w:t>[[</w:t>
            </w:r>
            <w:r w:rsidRPr="00590E99">
              <w:rPr>
                <w:rFonts w:ascii="Arial" w:eastAsia="Arial" w:hAnsi="Arial" w:cs="Arial"/>
                <w:kern w:val="0"/>
                <w:sz w:val="16"/>
                <w:szCs w:val="16"/>
                <w:highlight w:val="yellow"/>
                <w:lang w:eastAsia="es-MX"/>
                <w14:ligatures w14:val="none"/>
              </w:rPr>
              <w:t>*</w:t>
            </w:r>
            <w:r w:rsidRPr="00590E99">
              <w:rPr>
                <w:rFonts w:ascii="Arial" w:eastAsia="Arial" w:hAnsi="Arial" w:cs="Arial"/>
                <w:kern w:val="0"/>
                <w:sz w:val="16"/>
                <w:szCs w:val="16"/>
                <w:lang w:eastAsia="es-MX"/>
                <w14:ligatures w14:val="none"/>
              </w:rPr>
              <w:t>]] %</w:t>
            </w:r>
          </w:p>
        </w:tc>
      </w:tr>
      <w:tr w:rsidR="00DA57A7" w14:paraId="16AA72E8" w14:textId="77777777" w:rsidTr="00D5613F">
        <w:trPr>
          <w:trHeight w:val="300"/>
        </w:trPr>
        <w:tc>
          <w:tcPr>
            <w:tcW w:w="990" w:type="dxa"/>
            <w:tcBorders>
              <w:top w:val="nil"/>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14:paraId="6A730F7F" w14:textId="77777777" w:rsidR="00590E99" w:rsidRPr="00590E99" w:rsidRDefault="00000000" w:rsidP="00590E99">
            <w:pPr>
              <w:spacing w:after="0" w:line="276" w:lineRule="auto"/>
              <w:jc w:val="center"/>
              <w:rPr>
                <w:rFonts w:ascii="Arial" w:eastAsia="Arial" w:hAnsi="Arial" w:cs="Arial"/>
                <w:kern w:val="0"/>
                <w:sz w:val="16"/>
                <w:szCs w:val="16"/>
                <w:lang w:eastAsia="es-MX"/>
                <w14:ligatures w14:val="none"/>
              </w:rPr>
            </w:pPr>
            <w:r w:rsidRPr="00590E99">
              <w:rPr>
                <w:rFonts w:ascii="Arial" w:eastAsia="Arial" w:hAnsi="Arial" w:cs="Arial"/>
                <w:kern w:val="0"/>
                <w:sz w:val="16"/>
                <w:szCs w:val="16"/>
                <w:lang w:eastAsia="es-MX"/>
                <w14:ligatures w14:val="none"/>
              </w:rPr>
              <w:t>mxAA-</w:t>
            </w:r>
          </w:p>
        </w:tc>
        <w:tc>
          <w:tcPr>
            <w:tcW w:w="1095"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5B266E26" w14:textId="77777777" w:rsidR="00590E99" w:rsidRPr="00590E99" w:rsidRDefault="00000000" w:rsidP="00590E99">
            <w:pPr>
              <w:spacing w:after="0" w:line="276" w:lineRule="auto"/>
              <w:jc w:val="center"/>
              <w:rPr>
                <w:rFonts w:ascii="Arial" w:eastAsia="Arial" w:hAnsi="Arial" w:cs="Arial"/>
                <w:kern w:val="0"/>
                <w:sz w:val="16"/>
                <w:szCs w:val="16"/>
                <w:lang w:eastAsia="es-MX"/>
                <w14:ligatures w14:val="none"/>
              </w:rPr>
            </w:pPr>
            <w:r w:rsidRPr="00590E99">
              <w:rPr>
                <w:rFonts w:ascii="Arial" w:eastAsia="Arial" w:hAnsi="Arial" w:cs="Arial"/>
                <w:kern w:val="0"/>
                <w:sz w:val="16"/>
                <w:szCs w:val="16"/>
                <w:lang w:eastAsia="es-MX"/>
                <w14:ligatures w14:val="none"/>
              </w:rPr>
              <w:t>Aa3.mx</w:t>
            </w:r>
          </w:p>
        </w:tc>
        <w:tc>
          <w:tcPr>
            <w:tcW w:w="1380"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6C5CA109" w14:textId="77777777" w:rsidR="00590E99" w:rsidRPr="00590E99" w:rsidRDefault="00000000" w:rsidP="00590E99">
            <w:pPr>
              <w:spacing w:after="0" w:line="276" w:lineRule="auto"/>
              <w:jc w:val="center"/>
              <w:rPr>
                <w:rFonts w:ascii="Arial" w:eastAsia="Arial" w:hAnsi="Arial" w:cs="Arial"/>
                <w:kern w:val="0"/>
                <w:sz w:val="16"/>
                <w:szCs w:val="16"/>
                <w:lang w:eastAsia="es-MX"/>
                <w14:ligatures w14:val="none"/>
              </w:rPr>
            </w:pPr>
            <w:r w:rsidRPr="00590E99">
              <w:rPr>
                <w:rFonts w:ascii="Arial" w:eastAsia="Arial" w:hAnsi="Arial" w:cs="Arial"/>
                <w:kern w:val="0"/>
                <w:sz w:val="16"/>
                <w:szCs w:val="16"/>
                <w:lang w:eastAsia="es-MX"/>
                <w14:ligatures w14:val="none"/>
              </w:rPr>
              <w:t>AA- (mex)</w:t>
            </w:r>
          </w:p>
        </w:tc>
        <w:tc>
          <w:tcPr>
            <w:tcW w:w="1365"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389AD26D" w14:textId="77777777" w:rsidR="00590E99" w:rsidRPr="00590E99" w:rsidRDefault="00000000" w:rsidP="00590E99">
            <w:pPr>
              <w:spacing w:after="0" w:line="276" w:lineRule="auto"/>
              <w:jc w:val="center"/>
              <w:rPr>
                <w:rFonts w:ascii="Arial" w:eastAsia="Arial" w:hAnsi="Arial" w:cs="Arial"/>
                <w:kern w:val="0"/>
                <w:sz w:val="16"/>
                <w:szCs w:val="16"/>
                <w:lang w:eastAsia="es-MX"/>
                <w14:ligatures w14:val="none"/>
              </w:rPr>
            </w:pPr>
            <w:r w:rsidRPr="00590E99">
              <w:rPr>
                <w:rFonts w:ascii="Arial" w:eastAsia="Arial" w:hAnsi="Arial" w:cs="Arial"/>
                <w:kern w:val="0"/>
                <w:sz w:val="16"/>
                <w:szCs w:val="16"/>
                <w:lang w:eastAsia="es-MX"/>
                <w14:ligatures w14:val="none"/>
              </w:rPr>
              <w:t>HR AA-</w:t>
            </w:r>
          </w:p>
        </w:tc>
        <w:tc>
          <w:tcPr>
            <w:tcW w:w="2090"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268778B0" w14:textId="77777777" w:rsidR="00590E99" w:rsidRPr="00590E99" w:rsidRDefault="00000000" w:rsidP="00590E99">
            <w:pPr>
              <w:spacing w:after="0" w:line="276" w:lineRule="auto"/>
              <w:jc w:val="center"/>
              <w:rPr>
                <w:rFonts w:ascii="Arial" w:eastAsia="Arial" w:hAnsi="Arial" w:cs="Arial"/>
                <w:kern w:val="0"/>
                <w:sz w:val="16"/>
                <w:szCs w:val="16"/>
                <w:lang w:eastAsia="es-MX"/>
                <w14:ligatures w14:val="none"/>
              </w:rPr>
            </w:pPr>
            <w:r w:rsidRPr="00590E99">
              <w:rPr>
                <w:rFonts w:ascii="Arial" w:eastAsia="Arial" w:hAnsi="Arial" w:cs="Arial"/>
                <w:kern w:val="0"/>
                <w:sz w:val="16"/>
                <w:szCs w:val="16"/>
                <w:lang w:eastAsia="es-MX"/>
                <w14:ligatures w14:val="none"/>
              </w:rPr>
              <w:t>AA -/M</w:t>
            </w:r>
          </w:p>
        </w:tc>
        <w:tc>
          <w:tcPr>
            <w:tcW w:w="1620"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362DD0A7" w14:textId="77777777" w:rsidR="00590E99" w:rsidRPr="00590E99" w:rsidRDefault="00000000" w:rsidP="00590E99">
            <w:pPr>
              <w:spacing w:after="0" w:line="276" w:lineRule="auto"/>
              <w:jc w:val="center"/>
              <w:rPr>
                <w:rFonts w:ascii="Arial" w:eastAsia="Arial" w:hAnsi="Arial" w:cs="Arial"/>
                <w:kern w:val="0"/>
                <w:sz w:val="16"/>
                <w:szCs w:val="16"/>
                <w:lang w:eastAsia="es-MX"/>
                <w14:ligatures w14:val="none"/>
              </w:rPr>
            </w:pPr>
            <w:r w:rsidRPr="00590E99">
              <w:rPr>
                <w:rFonts w:ascii="Arial" w:eastAsia="Arial" w:hAnsi="Arial" w:cs="Arial"/>
                <w:kern w:val="0"/>
                <w:sz w:val="16"/>
                <w:szCs w:val="16"/>
                <w:lang w:eastAsia="es-MX"/>
                <w14:ligatures w14:val="none"/>
              </w:rPr>
              <w:t>[[</w:t>
            </w:r>
            <w:r w:rsidRPr="00590E99">
              <w:rPr>
                <w:rFonts w:ascii="Arial" w:eastAsia="Arial" w:hAnsi="Arial" w:cs="Arial"/>
                <w:kern w:val="0"/>
                <w:sz w:val="16"/>
                <w:szCs w:val="16"/>
                <w:highlight w:val="yellow"/>
                <w:lang w:eastAsia="es-MX"/>
                <w14:ligatures w14:val="none"/>
              </w:rPr>
              <w:t>*</w:t>
            </w:r>
            <w:r w:rsidRPr="00590E99">
              <w:rPr>
                <w:rFonts w:ascii="Arial" w:eastAsia="Arial" w:hAnsi="Arial" w:cs="Arial"/>
                <w:kern w:val="0"/>
                <w:sz w:val="16"/>
                <w:szCs w:val="16"/>
                <w:lang w:eastAsia="es-MX"/>
                <w14:ligatures w14:val="none"/>
              </w:rPr>
              <w:t>]] %</w:t>
            </w:r>
          </w:p>
        </w:tc>
      </w:tr>
      <w:tr w:rsidR="00DA57A7" w14:paraId="4399239C" w14:textId="77777777" w:rsidTr="00D5613F">
        <w:trPr>
          <w:trHeight w:val="300"/>
        </w:trPr>
        <w:tc>
          <w:tcPr>
            <w:tcW w:w="990" w:type="dxa"/>
            <w:tcBorders>
              <w:top w:val="nil"/>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14:paraId="2406F8C3" w14:textId="77777777" w:rsidR="00590E99" w:rsidRPr="00590E99" w:rsidRDefault="00000000" w:rsidP="00590E99">
            <w:pPr>
              <w:spacing w:after="0" w:line="276" w:lineRule="auto"/>
              <w:jc w:val="center"/>
              <w:rPr>
                <w:rFonts w:ascii="Arial" w:eastAsia="Arial" w:hAnsi="Arial" w:cs="Arial"/>
                <w:kern w:val="0"/>
                <w:sz w:val="16"/>
                <w:szCs w:val="16"/>
                <w:lang w:eastAsia="es-MX"/>
                <w14:ligatures w14:val="none"/>
              </w:rPr>
            </w:pPr>
            <w:r w:rsidRPr="00590E99">
              <w:rPr>
                <w:rFonts w:ascii="Arial" w:eastAsia="Arial" w:hAnsi="Arial" w:cs="Arial"/>
                <w:kern w:val="0"/>
                <w:sz w:val="16"/>
                <w:szCs w:val="16"/>
                <w:lang w:eastAsia="es-MX"/>
                <w14:ligatures w14:val="none"/>
              </w:rPr>
              <w:t>mxA+</w:t>
            </w:r>
          </w:p>
        </w:tc>
        <w:tc>
          <w:tcPr>
            <w:tcW w:w="1095"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3A821972" w14:textId="77777777" w:rsidR="00590E99" w:rsidRPr="00590E99" w:rsidRDefault="00000000" w:rsidP="00590E99">
            <w:pPr>
              <w:spacing w:after="0" w:line="276" w:lineRule="auto"/>
              <w:jc w:val="center"/>
              <w:rPr>
                <w:rFonts w:ascii="Arial" w:eastAsia="Arial" w:hAnsi="Arial" w:cs="Arial"/>
                <w:kern w:val="0"/>
                <w:sz w:val="16"/>
                <w:szCs w:val="16"/>
                <w:lang w:eastAsia="es-MX"/>
                <w14:ligatures w14:val="none"/>
              </w:rPr>
            </w:pPr>
            <w:r w:rsidRPr="00590E99">
              <w:rPr>
                <w:rFonts w:ascii="Arial" w:eastAsia="Arial" w:hAnsi="Arial" w:cs="Arial"/>
                <w:kern w:val="0"/>
                <w:sz w:val="16"/>
                <w:szCs w:val="16"/>
                <w:lang w:eastAsia="es-MX"/>
                <w14:ligatures w14:val="none"/>
              </w:rPr>
              <w:t>A1.mx</w:t>
            </w:r>
          </w:p>
        </w:tc>
        <w:tc>
          <w:tcPr>
            <w:tcW w:w="1380"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2C1704A1" w14:textId="77777777" w:rsidR="00590E99" w:rsidRPr="00590E99" w:rsidRDefault="00000000" w:rsidP="00590E99">
            <w:pPr>
              <w:spacing w:after="0" w:line="276" w:lineRule="auto"/>
              <w:jc w:val="center"/>
              <w:rPr>
                <w:rFonts w:ascii="Arial" w:eastAsia="Arial" w:hAnsi="Arial" w:cs="Arial"/>
                <w:kern w:val="0"/>
                <w:sz w:val="16"/>
                <w:szCs w:val="16"/>
                <w:lang w:eastAsia="es-MX"/>
                <w14:ligatures w14:val="none"/>
              </w:rPr>
            </w:pPr>
            <w:r w:rsidRPr="00590E99">
              <w:rPr>
                <w:rFonts w:ascii="Arial" w:eastAsia="Arial" w:hAnsi="Arial" w:cs="Arial"/>
                <w:kern w:val="0"/>
                <w:sz w:val="16"/>
                <w:szCs w:val="16"/>
                <w:lang w:eastAsia="es-MX"/>
                <w14:ligatures w14:val="none"/>
              </w:rPr>
              <w:t>A+ (mex)</w:t>
            </w:r>
          </w:p>
        </w:tc>
        <w:tc>
          <w:tcPr>
            <w:tcW w:w="1365"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0A1962A4" w14:textId="77777777" w:rsidR="00590E99" w:rsidRPr="00590E99" w:rsidRDefault="00000000" w:rsidP="00590E99">
            <w:pPr>
              <w:spacing w:after="0" w:line="276" w:lineRule="auto"/>
              <w:jc w:val="center"/>
              <w:rPr>
                <w:rFonts w:ascii="Arial" w:eastAsia="Arial" w:hAnsi="Arial" w:cs="Arial"/>
                <w:kern w:val="0"/>
                <w:sz w:val="16"/>
                <w:szCs w:val="16"/>
                <w:lang w:eastAsia="es-MX"/>
                <w14:ligatures w14:val="none"/>
              </w:rPr>
            </w:pPr>
            <w:r w:rsidRPr="00590E99">
              <w:rPr>
                <w:rFonts w:ascii="Arial" w:eastAsia="Arial" w:hAnsi="Arial" w:cs="Arial"/>
                <w:kern w:val="0"/>
                <w:sz w:val="16"/>
                <w:szCs w:val="16"/>
                <w:lang w:eastAsia="es-MX"/>
                <w14:ligatures w14:val="none"/>
              </w:rPr>
              <w:t>HR A+</w:t>
            </w:r>
          </w:p>
        </w:tc>
        <w:tc>
          <w:tcPr>
            <w:tcW w:w="2090"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0AE9F25E" w14:textId="77777777" w:rsidR="00590E99" w:rsidRPr="00590E99" w:rsidRDefault="00000000" w:rsidP="00590E99">
            <w:pPr>
              <w:spacing w:after="0" w:line="276" w:lineRule="auto"/>
              <w:jc w:val="center"/>
              <w:rPr>
                <w:rFonts w:ascii="Arial" w:eastAsia="Arial" w:hAnsi="Arial" w:cs="Arial"/>
                <w:kern w:val="0"/>
                <w:sz w:val="16"/>
                <w:szCs w:val="16"/>
                <w:lang w:eastAsia="es-MX"/>
                <w14:ligatures w14:val="none"/>
              </w:rPr>
            </w:pPr>
            <w:r w:rsidRPr="00590E99">
              <w:rPr>
                <w:rFonts w:ascii="Arial" w:eastAsia="Arial" w:hAnsi="Arial" w:cs="Arial"/>
                <w:kern w:val="0"/>
                <w:sz w:val="16"/>
                <w:szCs w:val="16"/>
                <w:lang w:eastAsia="es-MX"/>
                <w14:ligatures w14:val="none"/>
              </w:rPr>
              <w:t>A +/M</w:t>
            </w:r>
          </w:p>
        </w:tc>
        <w:tc>
          <w:tcPr>
            <w:tcW w:w="1620"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4C03A9E2" w14:textId="77777777" w:rsidR="00590E99" w:rsidRPr="00590E99" w:rsidRDefault="00000000" w:rsidP="00590E99">
            <w:pPr>
              <w:spacing w:after="0" w:line="276" w:lineRule="auto"/>
              <w:jc w:val="center"/>
              <w:rPr>
                <w:rFonts w:ascii="Arial" w:eastAsia="Arial" w:hAnsi="Arial" w:cs="Arial"/>
                <w:kern w:val="0"/>
                <w:sz w:val="16"/>
                <w:szCs w:val="16"/>
                <w:lang w:eastAsia="es-MX"/>
                <w14:ligatures w14:val="none"/>
              </w:rPr>
            </w:pPr>
            <w:r w:rsidRPr="00590E99">
              <w:rPr>
                <w:rFonts w:ascii="Arial" w:eastAsia="Arial" w:hAnsi="Arial" w:cs="Arial"/>
                <w:kern w:val="0"/>
                <w:sz w:val="16"/>
                <w:szCs w:val="16"/>
                <w:lang w:eastAsia="es-MX"/>
                <w14:ligatures w14:val="none"/>
              </w:rPr>
              <w:t>[[</w:t>
            </w:r>
            <w:r w:rsidRPr="00590E99">
              <w:rPr>
                <w:rFonts w:ascii="Arial" w:eastAsia="Arial" w:hAnsi="Arial" w:cs="Arial"/>
                <w:kern w:val="0"/>
                <w:sz w:val="16"/>
                <w:szCs w:val="16"/>
                <w:highlight w:val="yellow"/>
                <w:lang w:eastAsia="es-MX"/>
                <w14:ligatures w14:val="none"/>
              </w:rPr>
              <w:t>*</w:t>
            </w:r>
            <w:r w:rsidRPr="00590E99">
              <w:rPr>
                <w:rFonts w:ascii="Arial" w:eastAsia="Arial" w:hAnsi="Arial" w:cs="Arial"/>
                <w:kern w:val="0"/>
                <w:sz w:val="16"/>
                <w:szCs w:val="16"/>
                <w:lang w:eastAsia="es-MX"/>
                <w14:ligatures w14:val="none"/>
              </w:rPr>
              <w:t>]] %</w:t>
            </w:r>
          </w:p>
        </w:tc>
      </w:tr>
      <w:tr w:rsidR="00DA57A7" w14:paraId="4F610A7B" w14:textId="77777777" w:rsidTr="00D5613F">
        <w:trPr>
          <w:trHeight w:val="300"/>
        </w:trPr>
        <w:tc>
          <w:tcPr>
            <w:tcW w:w="990" w:type="dxa"/>
            <w:tcBorders>
              <w:top w:val="nil"/>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14:paraId="64F7EFB6" w14:textId="77777777" w:rsidR="00590E99" w:rsidRPr="00590E99" w:rsidRDefault="00000000" w:rsidP="00590E99">
            <w:pPr>
              <w:spacing w:after="0" w:line="276" w:lineRule="auto"/>
              <w:jc w:val="center"/>
              <w:rPr>
                <w:rFonts w:ascii="Arial" w:eastAsia="Arial" w:hAnsi="Arial" w:cs="Arial"/>
                <w:kern w:val="0"/>
                <w:sz w:val="16"/>
                <w:szCs w:val="16"/>
                <w:lang w:eastAsia="es-MX"/>
                <w14:ligatures w14:val="none"/>
              </w:rPr>
            </w:pPr>
            <w:r w:rsidRPr="00590E99">
              <w:rPr>
                <w:rFonts w:ascii="Arial" w:eastAsia="Arial" w:hAnsi="Arial" w:cs="Arial"/>
                <w:kern w:val="0"/>
                <w:sz w:val="16"/>
                <w:szCs w:val="16"/>
                <w:lang w:eastAsia="es-MX"/>
                <w14:ligatures w14:val="none"/>
              </w:rPr>
              <w:t>mxA</w:t>
            </w:r>
          </w:p>
        </w:tc>
        <w:tc>
          <w:tcPr>
            <w:tcW w:w="1095"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16B4035E" w14:textId="77777777" w:rsidR="00590E99" w:rsidRPr="00590E99" w:rsidRDefault="00000000" w:rsidP="00590E99">
            <w:pPr>
              <w:spacing w:after="0" w:line="276" w:lineRule="auto"/>
              <w:jc w:val="center"/>
              <w:rPr>
                <w:rFonts w:ascii="Arial" w:eastAsia="Arial" w:hAnsi="Arial" w:cs="Arial"/>
                <w:kern w:val="0"/>
                <w:sz w:val="16"/>
                <w:szCs w:val="16"/>
                <w:lang w:eastAsia="es-MX"/>
                <w14:ligatures w14:val="none"/>
              </w:rPr>
            </w:pPr>
            <w:r w:rsidRPr="00590E99">
              <w:rPr>
                <w:rFonts w:ascii="Arial" w:eastAsia="Arial" w:hAnsi="Arial" w:cs="Arial"/>
                <w:kern w:val="0"/>
                <w:sz w:val="16"/>
                <w:szCs w:val="16"/>
                <w:lang w:eastAsia="es-MX"/>
                <w14:ligatures w14:val="none"/>
              </w:rPr>
              <w:t>A2.mx</w:t>
            </w:r>
          </w:p>
        </w:tc>
        <w:tc>
          <w:tcPr>
            <w:tcW w:w="1380"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12F1F65B" w14:textId="77777777" w:rsidR="00590E99" w:rsidRPr="00590E99" w:rsidRDefault="00000000" w:rsidP="00590E99">
            <w:pPr>
              <w:spacing w:after="0" w:line="276" w:lineRule="auto"/>
              <w:jc w:val="center"/>
              <w:rPr>
                <w:rFonts w:ascii="Arial" w:eastAsia="Arial" w:hAnsi="Arial" w:cs="Arial"/>
                <w:kern w:val="0"/>
                <w:sz w:val="16"/>
                <w:szCs w:val="16"/>
                <w:lang w:eastAsia="es-MX"/>
                <w14:ligatures w14:val="none"/>
              </w:rPr>
            </w:pPr>
            <w:r w:rsidRPr="00590E99">
              <w:rPr>
                <w:rFonts w:ascii="Arial" w:eastAsia="Arial" w:hAnsi="Arial" w:cs="Arial"/>
                <w:kern w:val="0"/>
                <w:sz w:val="16"/>
                <w:szCs w:val="16"/>
                <w:lang w:eastAsia="es-MX"/>
                <w14:ligatures w14:val="none"/>
              </w:rPr>
              <w:t>A (mex)</w:t>
            </w:r>
          </w:p>
        </w:tc>
        <w:tc>
          <w:tcPr>
            <w:tcW w:w="1365"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6784C64A" w14:textId="77777777" w:rsidR="00590E99" w:rsidRPr="00590E99" w:rsidRDefault="00000000" w:rsidP="00590E99">
            <w:pPr>
              <w:spacing w:after="0" w:line="276" w:lineRule="auto"/>
              <w:jc w:val="center"/>
              <w:rPr>
                <w:rFonts w:ascii="Arial" w:eastAsia="Arial" w:hAnsi="Arial" w:cs="Arial"/>
                <w:kern w:val="0"/>
                <w:sz w:val="16"/>
                <w:szCs w:val="16"/>
                <w:lang w:eastAsia="es-MX"/>
                <w14:ligatures w14:val="none"/>
              </w:rPr>
            </w:pPr>
            <w:r w:rsidRPr="00590E99">
              <w:rPr>
                <w:rFonts w:ascii="Arial" w:eastAsia="Arial" w:hAnsi="Arial" w:cs="Arial"/>
                <w:kern w:val="0"/>
                <w:sz w:val="16"/>
                <w:szCs w:val="16"/>
                <w:lang w:eastAsia="es-MX"/>
                <w14:ligatures w14:val="none"/>
              </w:rPr>
              <w:t>HR A</w:t>
            </w:r>
          </w:p>
        </w:tc>
        <w:tc>
          <w:tcPr>
            <w:tcW w:w="2090"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6BB7FECA" w14:textId="77777777" w:rsidR="00590E99" w:rsidRPr="00590E99" w:rsidRDefault="00000000" w:rsidP="00590E99">
            <w:pPr>
              <w:spacing w:after="0" w:line="276" w:lineRule="auto"/>
              <w:jc w:val="center"/>
              <w:rPr>
                <w:rFonts w:ascii="Arial" w:eastAsia="Arial" w:hAnsi="Arial" w:cs="Arial"/>
                <w:kern w:val="0"/>
                <w:sz w:val="16"/>
                <w:szCs w:val="16"/>
                <w:lang w:eastAsia="es-MX"/>
                <w14:ligatures w14:val="none"/>
              </w:rPr>
            </w:pPr>
            <w:r w:rsidRPr="00590E99">
              <w:rPr>
                <w:rFonts w:ascii="Arial" w:eastAsia="Arial" w:hAnsi="Arial" w:cs="Arial"/>
                <w:kern w:val="0"/>
                <w:sz w:val="16"/>
                <w:szCs w:val="16"/>
                <w:lang w:eastAsia="es-MX"/>
                <w14:ligatures w14:val="none"/>
              </w:rPr>
              <w:t>A/M</w:t>
            </w:r>
          </w:p>
        </w:tc>
        <w:tc>
          <w:tcPr>
            <w:tcW w:w="1620"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0CB67988" w14:textId="77777777" w:rsidR="00590E99" w:rsidRPr="00590E99" w:rsidRDefault="00000000" w:rsidP="00590E99">
            <w:pPr>
              <w:spacing w:after="0" w:line="276" w:lineRule="auto"/>
              <w:jc w:val="center"/>
              <w:rPr>
                <w:rFonts w:ascii="Arial" w:eastAsia="Arial" w:hAnsi="Arial" w:cs="Arial"/>
                <w:kern w:val="0"/>
                <w:sz w:val="16"/>
                <w:szCs w:val="16"/>
                <w:lang w:eastAsia="es-MX"/>
                <w14:ligatures w14:val="none"/>
              </w:rPr>
            </w:pPr>
            <w:r w:rsidRPr="00590E99">
              <w:rPr>
                <w:rFonts w:ascii="Arial" w:eastAsia="Arial" w:hAnsi="Arial" w:cs="Arial"/>
                <w:kern w:val="0"/>
                <w:sz w:val="16"/>
                <w:szCs w:val="16"/>
                <w:lang w:eastAsia="es-MX"/>
                <w14:ligatures w14:val="none"/>
              </w:rPr>
              <w:t>[[</w:t>
            </w:r>
            <w:r w:rsidRPr="00590E99">
              <w:rPr>
                <w:rFonts w:ascii="Arial" w:eastAsia="Arial" w:hAnsi="Arial" w:cs="Arial"/>
                <w:kern w:val="0"/>
                <w:sz w:val="16"/>
                <w:szCs w:val="16"/>
                <w:highlight w:val="yellow"/>
                <w:lang w:eastAsia="es-MX"/>
                <w14:ligatures w14:val="none"/>
              </w:rPr>
              <w:t>*</w:t>
            </w:r>
            <w:r w:rsidRPr="00590E99">
              <w:rPr>
                <w:rFonts w:ascii="Arial" w:eastAsia="Arial" w:hAnsi="Arial" w:cs="Arial"/>
                <w:kern w:val="0"/>
                <w:sz w:val="16"/>
                <w:szCs w:val="16"/>
                <w:lang w:eastAsia="es-MX"/>
                <w14:ligatures w14:val="none"/>
              </w:rPr>
              <w:t>]] %</w:t>
            </w:r>
          </w:p>
        </w:tc>
      </w:tr>
      <w:tr w:rsidR="00DA57A7" w14:paraId="4A702268" w14:textId="77777777" w:rsidTr="00D5613F">
        <w:trPr>
          <w:trHeight w:val="315"/>
        </w:trPr>
        <w:tc>
          <w:tcPr>
            <w:tcW w:w="990" w:type="dxa"/>
            <w:tcBorders>
              <w:top w:val="nil"/>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14:paraId="58DBF3BD" w14:textId="77777777" w:rsidR="00590E99" w:rsidRPr="00590E99" w:rsidRDefault="00000000" w:rsidP="00590E99">
            <w:pPr>
              <w:spacing w:after="0" w:line="276" w:lineRule="auto"/>
              <w:jc w:val="center"/>
              <w:rPr>
                <w:rFonts w:ascii="Arial" w:eastAsia="Arial" w:hAnsi="Arial" w:cs="Arial"/>
                <w:kern w:val="0"/>
                <w:sz w:val="16"/>
                <w:szCs w:val="16"/>
                <w:lang w:eastAsia="es-MX"/>
                <w14:ligatures w14:val="none"/>
              </w:rPr>
            </w:pPr>
            <w:r w:rsidRPr="00590E99">
              <w:rPr>
                <w:rFonts w:ascii="Arial" w:eastAsia="Arial" w:hAnsi="Arial" w:cs="Arial"/>
                <w:kern w:val="0"/>
                <w:sz w:val="16"/>
                <w:szCs w:val="16"/>
                <w:lang w:eastAsia="es-MX"/>
                <w14:ligatures w14:val="none"/>
              </w:rPr>
              <w:t>mxA-</w:t>
            </w:r>
          </w:p>
        </w:tc>
        <w:tc>
          <w:tcPr>
            <w:tcW w:w="1095"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09227873" w14:textId="77777777" w:rsidR="00590E99" w:rsidRPr="00590E99" w:rsidRDefault="00000000" w:rsidP="00590E99">
            <w:pPr>
              <w:spacing w:after="0" w:line="276" w:lineRule="auto"/>
              <w:jc w:val="center"/>
              <w:rPr>
                <w:rFonts w:ascii="Arial" w:eastAsia="Arial" w:hAnsi="Arial" w:cs="Arial"/>
                <w:kern w:val="0"/>
                <w:sz w:val="16"/>
                <w:szCs w:val="16"/>
                <w:lang w:eastAsia="es-MX"/>
                <w14:ligatures w14:val="none"/>
              </w:rPr>
            </w:pPr>
            <w:r w:rsidRPr="00590E99">
              <w:rPr>
                <w:rFonts w:ascii="Arial" w:eastAsia="Arial" w:hAnsi="Arial" w:cs="Arial"/>
                <w:kern w:val="0"/>
                <w:sz w:val="16"/>
                <w:szCs w:val="16"/>
                <w:lang w:eastAsia="es-MX"/>
                <w14:ligatures w14:val="none"/>
              </w:rPr>
              <w:t>A3.mx</w:t>
            </w:r>
          </w:p>
        </w:tc>
        <w:tc>
          <w:tcPr>
            <w:tcW w:w="1380"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0A737EA4" w14:textId="77777777" w:rsidR="00590E99" w:rsidRPr="00590E99" w:rsidRDefault="00000000" w:rsidP="00590E99">
            <w:pPr>
              <w:spacing w:after="0" w:line="276" w:lineRule="auto"/>
              <w:ind w:left="360"/>
              <w:jc w:val="center"/>
              <w:rPr>
                <w:rFonts w:ascii="Arial" w:eastAsia="Arial" w:hAnsi="Arial" w:cs="Arial"/>
                <w:kern w:val="0"/>
                <w:sz w:val="16"/>
                <w:szCs w:val="16"/>
                <w:lang w:eastAsia="es-MX"/>
                <w14:ligatures w14:val="none"/>
              </w:rPr>
            </w:pPr>
            <w:r w:rsidRPr="00590E99">
              <w:rPr>
                <w:rFonts w:ascii="Arial" w:eastAsia="Arial" w:hAnsi="Arial" w:cs="Arial"/>
                <w:kern w:val="0"/>
                <w:sz w:val="16"/>
                <w:szCs w:val="16"/>
                <w:lang w:eastAsia="es-MX"/>
                <w14:ligatures w14:val="none"/>
              </w:rPr>
              <w:t>A-(mex)</w:t>
            </w:r>
          </w:p>
        </w:tc>
        <w:tc>
          <w:tcPr>
            <w:tcW w:w="1365"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0BCE0929" w14:textId="77777777" w:rsidR="00590E99" w:rsidRPr="00590E99" w:rsidRDefault="00000000" w:rsidP="00590E99">
            <w:pPr>
              <w:spacing w:after="0" w:line="276" w:lineRule="auto"/>
              <w:jc w:val="center"/>
              <w:rPr>
                <w:rFonts w:ascii="Arial" w:eastAsia="Arial" w:hAnsi="Arial" w:cs="Arial"/>
                <w:kern w:val="0"/>
                <w:sz w:val="16"/>
                <w:szCs w:val="16"/>
                <w:lang w:eastAsia="es-MX"/>
                <w14:ligatures w14:val="none"/>
              </w:rPr>
            </w:pPr>
            <w:r w:rsidRPr="00590E99">
              <w:rPr>
                <w:rFonts w:ascii="Arial" w:eastAsia="Arial" w:hAnsi="Arial" w:cs="Arial"/>
                <w:kern w:val="0"/>
                <w:sz w:val="16"/>
                <w:szCs w:val="16"/>
                <w:lang w:eastAsia="es-MX"/>
                <w14:ligatures w14:val="none"/>
              </w:rPr>
              <w:t>HR A-</w:t>
            </w:r>
          </w:p>
        </w:tc>
        <w:tc>
          <w:tcPr>
            <w:tcW w:w="2090"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7A422A7B" w14:textId="77777777" w:rsidR="00590E99" w:rsidRPr="00590E99" w:rsidRDefault="00000000" w:rsidP="00590E99">
            <w:pPr>
              <w:spacing w:after="0" w:line="276" w:lineRule="auto"/>
              <w:jc w:val="center"/>
              <w:rPr>
                <w:rFonts w:ascii="Arial" w:eastAsia="Arial" w:hAnsi="Arial" w:cs="Arial"/>
                <w:kern w:val="0"/>
                <w:sz w:val="16"/>
                <w:szCs w:val="16"/>
                <w:lang w:eastAsia="es-MX"/>
                <w14:ligatures w14:val="none"/>
              </w:rPr>
            </w:pPr>
            <w:r w:rsidRPr="00590E99">
              <w:rPr>
                <w:rFonts w:ascii="Arial" w:eastAsia="Arial" w:hAnsi="Arial" w:cs="Arial"/>
                <w:kern w:val="0"/>
                <w:sz w:val="16"/>
                <w:szCs w:val="16"/>
                <w:lang w:eastAsia="es-MX"/>
                <w14:ligatures w14:val="none"/>
              </w:rPr>
              <w:t>A-/M</w:t>
            </w:r>
          </w:p>
        </w:tc>
        <w:tc>
          <w:tcPr>
            <w:tcW w:w="1620"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5764A08D" w14:textId="77777777" w:rsidR="00590E99" w:rsidRPr="00590E99" w:rsidRDefault="00000000" w:rsidP="00590E99">
            <w:pPr>
              <w:spacing w:after="0" w:line="276" w:lineRule="auto"/>
              <w:jc w:val="center"/>
              <w:rPr>
                <w:rFonts w:ascii="Arial" w:eastAsia="Arial" w:hAnsi="Arial" w:cs="Arial"/>
                <w:kern w:val="0"/>
                <w:sz w:val="16"/>
                <w:szCs w:val="16"/>
                <w:lang w:eastAsia="es-MX"/>
                <w14:ligatures w14:val="none"/>
              </w:rPr>
            </w:pPr>
            <w:r w:rsidRPr="00590E99">
              <w:rPr>
                <w:rFonts w:ascii="Arial" w:eastAsia="Arial" w:hAnsi="Arial" w:cs="Arial"/>
                <w:kern w:val="0"/>
                <w:sz w:val="16"/>
                <w:szCs w:val="16"/>
                <w:lang w:eastAsia="es-MX"/>
                <w14:ligatures w14:val="none"/>
              </w:rPr>
              <w:t>[[</w:t>
            </w:r>
            <w:r w:rsidRPr="00590E99">
              <w:rPr>
                <w:rFonts w:ascii="Arial" w:eastAsia="Arial" w:hAnsi="Arial" w:cs="Arial"/>
                <w:kern w:val="0"/>
                <w:sz w:val="16"/>
                <w:szCs w:val="16"/>
                <w:highlight w:val="yellow"/>
                <w:lang w:eastAsia="es-MX"/>
                <w14:ligatures w14:val="none"/>
              </w:rPr>
              <w:t>*</w:t>
            </w:r>
            <w:r w:rsidRPr="00590E99">
              <w:rPr>
                <w:rFonts w:ascii="Arial" w:eastAsia="Arial" w:hAnsi="Arial" w:cs="Arial"/>
                <w:kern w:val="0"/>
                <w:sz w:val="16"/>
                <w:szCs w:val="16"/>
                <w:lang w:eastAsia="es-MX"/>
                <w14:ligatures w14:val="none"/>
              </w:rPr>
              <w:t>]] %</w:t>
            </w:r>
          </w:p>
        </w:tc>
      </w:tr>
      <w:tr w:rsidR="00DA57A7" w14:paraId="617C882E" w14:textId="77777777" w:rsidTr="00D5613F">
        <w:trPr>
          <w:trHeight w:val="285"/>
        </w:trPr>
        <w:tc>
          <w:tcPr>
            <w:tcW w:w="990" w:type="dxa"/>
            <w:tcBorders>
              <w:top w:val="nil"/>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14:paraId="4AE4B9CF" w14:textId="77777777" w:rsidR="00590E99" w:rsidRPr="00590E99" w:rsidRDefault="00000000" w:rsidP="00590E99">
            <w:pPr>
              <w:spacing w:after="0" w:line="276" w:lineRule="auto"/>
              <w:jc w:val="center"/>
              <w:rPr>
                <w:rFonts w:ascii="Arial" w:eastAsia="Arial" w:hAnsi="Arial" w:cs="Arial"/>
                <w:kern w:val="0"/>
                <w:sz w:val="16"/>
                <w:szCs w:val="16"/>
                <w:lang w:eastAsia="es-MX"/>
                <w14:ligatures w14:val="none"/>
              </w:rPr>
            </w:pPr>
            <w:r w:rsidRPr="00590E99">
              <w:rPr>
                <w:rFonts w:ascii="Arial" w:eastAsia="Arial" w:hAnsi="Arial" w:cs="Arial"/>
                <w:kern w:val="0"/>
                <w:sz w:val="16"/>
                <w:szCs w:val="16"/>
                <w:lang w:eastAsia="es-MX"/>
                <w14:ligatures w14:val="none"/>
              </w:rPr>
              <w:t>mxBBB+</w:t>
            </w:r>
          </w:p>
        </w:tc>
        <w:tc>
          <w:tcPr>
            <w:tcW w:w="1095"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43B925B9" w14:textId="77777777" w:rsidR="00590E99" w:rsidRPr="00590E99" w:rsidRDefault="00000000" w:rsidP="00590E99">
            <w:pPr>
              <w:spacing w:after="0" w:line="276" w:lineRule="auto"/>
              <w:jc w:val="center"/>
              <w:rPr>
                <w:rFonts w:ascii="Arial" w:eastAsia="Arial" w:hAnsi="Arial" w:cs="Arial"/>
                <w:kern w:val="0"/>
                <w:sz w:val="16"/>
                <w:szCs w:val="16"/>
                <w:lang w:eastAsia="es-MX"/>
                <w14:ligatures w14:val="none"/>
              </w:rPr>
            </w:pPr>
            <w:r w:rsidRPr="00590E99">
              <w:rPr>
                <w:rFonts w:ascii="Arial" w:eastAsia="Arial" w:hAnsi="Arial" w:cs="Arial"/>
                <w:kern w:val="0"/>
                <w:sz w:val="16"/>
                <w:szCs w:val="16"/>
                <w:lang w:eastAsia="es-MX"/>
                <w14:ligatures w14:val="none"/>
              </w:rPr>
              <w:t>Baa1.mx</w:t>
            </w:r>
          </w:p>
        </w:tc>
        <w:tc>
          <w:tcPr>
            <w:tcW w:w="1380"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30E8F6C9" w14:textId="77777777" w:rsidR="00590E99" w:rsidRPr="00590E99" w:rsidRDefault="00000000" w:rsidP="00590E99">
            <w:pPr>
              <w:spacing w:after="0" w:line="276" w:lineRule="auto"/>
              <w:jc w:val="center"/>
              <w:rPr>
                <w:rFonts w:ascii="Arial" w:eastAsia="Arial" w:hAnsi="Arial" w:cs="Arial"/>
                <w:kern w:val="0"/>
                <w:sz w:val="16"/>
                <w:szCs w:val="16"/>
                <w:lang w:eastAsia="es-MX"/>
                <w14:ligatures w14:val="none"/>
              </w:rPr>
            </w:pPr>
            <w:r w:rsidRPr="00590E99">
              <w:rPr>
                <w:rFonts w:ascii="Arial" w:eastAsia="Arial" w:hAnsi="Arial" w:cs="Arial"/>
                <w:kern w:val="0"/>
                <w:sz w:val="16"/>
                <w:szCs w:val="16"/>
                <w:lang w:eastAsia="es-MX"/>
                <w14:ligatures w14:val="none"/>
              </w:rPr>
              <w:t>BBB+(mex)</w:t>
            </w:r>
          </w:p>
        </w:tc>
        <w:tc>
          <w:tcPr>
            <w:tcW w:w="1365"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745048EB" w14:textId="77777777" w:rsidR="00590E99" w:rsidRPr="00590E99" w:rsidRDefault="00000000" w:rsidP="00590E99">
            <w:pPr>
              <w:spacing w:after="0" w:line="276" w:lineRule="auto"/>
              <w:jc w:val="center"/>
              <w:rPr>
                <w:rFonts w:ascii="Arial" w:eastAsia="Arial" w:hAnsi="Arial" w:cs="Arial"/>
                <w:kern w:val="0"/>
                <w:sz w:val="16"/>
                <w:szCs w:val="16"/>
                <w:lang w:eastAsia="es-MX"/>
                <w14:ligatures w14:val="none"/>
              </w:rPr>
            </w:pPr>
            <w:r w:rsidRPr="00590E99">
              <w:rPr>
                <w:rFonts w:ascii="Arial" w:eastAsia="Arial" w:hAnsi="Arial" w:cs="Arial"/>
                <w:kern w:val="0"/>
                <w:sz w:val="16"/>
                <w:szCs w:val="16"/>
                <w:lang w:eastAsia="es-MX"/>
                <w14:ligatures w14:val="none"/>
              </w:rPr>
              <w:t>HR BBB+</w:t>
            </w:r>
          </w:p>
        </w:tc>
        <w:tc>
          <w:tcPr>
            <w:tcW w:w="2090"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470A5FA6" w14:textId="77777777" w:rsidR="00590E99" w:rsidRPr="00590E99" w:rsidRDefault="00000000" w:rsidP="00590E99">
            <w:pPr>
              <w:spacing w:after="0" w:line="276" w:lineRule="auto"/>
              <w:jc w:val="center"/>
              <w:rPr>
                <w:rFonts w:ascii="Arial" w:eastAsia="Arial" w:hAnsi="Arial" w:cs="Arial"/>
                <w:kern w:val="0"/>
                <w:sz w:val="16"/>
                <w:szCs w:val="16"/>
                <w:lang w:eastAsia="es-MX"/>
                <w14:ligatures w14:val="none"/>
              </w:rPr>
            </w:pPr>
            <w:r w:rsidRPr="00590E99">
              <w:rPr>
                <w:rFonts w:ascii="Arial" w:eastAsia="Arial" w:hAnsi="Arial" w:cs="Arial"/>
                <w:kern w:val="0"/>
                <w:sz w:val="16"/>
                <w:szCs w:val="16"/>
                <w:lang w:eastAsia="es-MX"/>
                <w14:ligatures w14:val="none"/>
              </w:rPr>
              <w:t>BBB+/M</w:t>
            </w:r>
          </w:p>
        </w:tc>
        <w:tc>
          <w:tcPr>
            <w:tcW w:w="1620"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74043BF1" w14:textId="77777777" w:rsidR="00590E99" w:rsidRPr="00590E99" w:rsidRDefault="00000000" w:rsidP="00590E99">
            <w:pPr>
              <w:spacing w:after="0" w:line="276" w:lineRule="auto"/>
              <w:jc w:val="center"/>
              <w:rPr>
                <w:rFonts w:ascii="Arial" w:eastAsia="Arial" w:hAnsi="Arial" w:cs="Arial"/>
                <w:kern w:val="0"/>
                <w:sz w:val="16"/>
                <w:szCs w:val="16"/>
                <w:lang w:eastAsia="es-MX"/>
                <w14:ligatures w14:val="none"/>
              </w:rPr>
            </w:pPr>
            <w:r w:rsidRPr="00590E99">
              <w:rPr>
                <w:rFonts w:ascii="Arial" w:eastAsia="Arial" w:hAnsi="Arial" w:cs="Arial"/>
                <w:kern w:val="0"/>
                <w:sz w:val="16"/>
                <w:szCs w:val="16"/>
                <w:lang w:eastAsia="es-MX"/>
                <w14:ligatures w14:val="none"/>
              </w:rPr>
              <w:t>[[</w:t>
            </w:r>
            <w:r w:rsidRPr="00590E99">
              <w:rPr>
                <w:rFonts w:ascii="Arial" w:eastAsia="Arial" w:hAnsi="Arial" w:cs="Arial"/>
                <w:kern w:val="0"/>
                <w:sz w:val="16"/>
                <w:szCs w:val="16"/>
                <w:highlight w:val="yellow"/>
                <w:lang w:eastAsia="es-MX"/>
                <w14:ligatures w14:val="none"/>
              </w:rPr>
              <w:t>*</w:t>
            </w:r>
            <w:r w:rsidRPr="00590E99">
              <w:rPr>
                <w:rFonts w:ascii="Arial" w:eastAsia="Arial" w:hAnsi="Arial" w:cs="Arial"/>
                <w:kern w:val="0"/>
                <w:sz w:val="16"/>
                <w:szCs w:val="16"/>
                <w:lang w:eastAsia="es-MX"/>
                <w14:ligatures w14:val="none"/>
              </w:rPr>
              <w:t>]] %</w:t>
            </w:r>
          </w:p>
        </w:tc>
      </w:tr>
      <w:tr w:rsidR="00DA57A7" w14:paraId="1E208343" w14:textId="77777777" w:rsidTr="00D5613F">
        <w:trPr>
          <w:trHeight w:val="300"/>
        </w:trPr>
        <w:tc>
          <w:tcPr>
            <w:tcW w:w="990" w:type="dxa"/>
            <w:tcBorders>
              <w:top w:val="nil"/>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14:paraId="018141D4" w14:textId="77777777" w:rsidR="00590E99" w:rsidRPr="00590E99" w:rsidRDefault="00000000" w:rsidP="00590E99">
            <w:pPr>
              <w:spacing w:after="0" w:line="276" w:lineRule="auto"/>
              <w:jc w:val="center"/>
              <w:rPr>
                <w:rFonts w:ascii="Arial" w:eastAsia="Arial" w:hAnsi="Arial" w:cs="Arial"/>
                <w:kern w:val="0"/>
                <w:sz w:val="16"/>
                <w:szCs w:val="16"/>
                <w:lang w:eastAsia="es-MX"/>
                <w14:ligatures w14:val="none"/>
              </w:rPr>
            </w:pPr>
            <w:r w:rsidRPr="00590E99">
              <w:rPr>
                <w:rFonts w:ascii="Arial" w:eastAsia="Arial" w:hAnsi="Arial" w:cs="Arial"/>
                <w:kern w:val="0"/>
                <w:sz w:val="16"/>
                <w:szCs w:val="16"/>
                <w:lang w:eastAsia="es-MX"/>
                <w14:ligatures w14:val="none"/>
              </w:rPr>
              <w:t>mxBBB</w:t>
            </w:r>
          </w:p>
        </w:tc>
        <w:tc>
          <w:tcPr>
            <w:tcW w:w="1095"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56C711D2" w14:textId="77777777" w:rsidR="00590E99" w:rsidRPr="00590E99" w:rsidRDefault="00000000" w:rsidP="00590E99">
            <w:pPr>
              <w:spacing w:after="0" w:line="276" w:lineRule="auto"/>
              <w:jc w:val="center"/>
              <w:rPr>
                <w:rFonts w:ascii="Arial" w:eastAsia="Arial" w:hAnsi="Arial" w:cs="Arial"/>
                <w:kern w:val="0"/>
                <w:sz w:val="16"/>
                <w:szCs w:val="16"/>
                <w:lang w:eastAsia="es-MX"/>
                <w14:ligatures w14:val="none"/>
              </w:rPr>
            </w:pPr>
            <w:r w:rsidRPr="00590E99">
              <w:rPr>
                <w:rFonts w:ascii="Arial" w:eastAsia="Arial" w:hAnsi="Arial" w:cs="Arial"/>
                <w:kern w:val="0"/>
                <w:sz w:val="16"/>
                <w:szCs w:val="16"/>
                <w:lang w:eastAsia="es-MX"/>
                <w14:ligatures w14:val="none"/>
              </w:rPr>
              <w:t>Baa2.mx</w:t>
            </w:r>
          </w:p>
        </w:tc>
        <w:tc>
          <w:tcPr>
            <w:tcW w:w="1380"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2E037AC9" w14:textId="77777777" w:rsidR="00590E99" w:rsidRPr="00590E99" w:rsidRDefault="00000000" w:rsidP="00590E99">
            <w:pPr>
              <w:spacing w:after="0" w:line="276" w:lineRule="auto"/>
              <w:jc w:val="center"/>
              <w:rPr>
                <w:rFonts w:ascii="Arial" w:eastAsia="Arial" w:hAnsi="Arial" w:cs="Arial"/>
                <w:kern w:val="0"/>
                <w:sz w:val="16"/>
                <w:szCs w:val="16"/>
                <w:lang w:eastAsia="es-MX"/>
                <w14:ligatures w14:val="none"/>
              </w:rPr>
            </w:pPr>
            <w:r w:rsidRPr="00590E99">
              <w:rPr>
                <w:rFonts w:ascii="Arial" w:eastAsia="Arial" w:hAnsi="Arial" w:cs="Arial"/>
                <w:kern w:val="0"/>
                <w:sz w:val="16"/>
                <w:szCs w:val="16"/>
                <w:lang w:eastAsia="es-MX"/>
                <w14:ligatures w14:val="none"/>
              </w:rPr>
              <w:t>BBB (mex)</w:t>
            </w:r>
          </w:p>
        </w:tc>
        <w:tc>
          <w:tcPr>
            <w:tcW w:w="1365"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568A39A0" w14:textId="77777777" w:rsidR="00590E99" w:rsidRPr="00590E99" w:rsidRDefault="00000000" w:rsidP="00590E99">
            <w:pPr>
              <w:spacing w:after="0" w:line="276" w:lineRule="auto"/>
              <w:jc w:val="center"/>
              <w:rPr>
                <w:rFonts w:ascii="Arial" w:eastAsia="Arial" w:hAnsi="Arial" w:cs="Arial"/>
                <w:kern w:val="0"/>
                <w:sz w:val="16"/>
                <w:szCs w:val="16"/>
                <w:lang w:eastAsia="es-MX"/>
                <w14:ligatures w14:val="none"/>
              </w:rPr>
            </w:pPr>
            <w:r w:rsidRPr="00590E99">
              <w:rPr>
                <w:rFonts w:ascii="Arial" w:eastAsia="Arial" w:hAnsi="Arial" w:cs="Arial"/>
                <w:kern w:val="0"/>
                <w:sz w:val="16"/>
                <w:szCs w:val="16"/>
                <w:lang w:eastAsia="es-MX"/>
                <w14:ligatures w14:val="none"/>
              </w:rPr>
              <w:t>HR BBB</w:t>
            </w:r>
          </w:p>
        </w:tc>
        <w:tc>
          <w:tcPr>
            <w:tcW w:w="2090"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0FD18958" w14:textId="77777777" w:rsidR="00590E99" w:rsidRPr="00590E99" w:rsidRDefault="00000000" w:rsidP="00590E99">
            <w:pPr>
              <w:spacing w:after="0" w:line="276" w:lineRule="auto"/>
              <w:jc w:val="center"/>
              <w:rPr>
                <w:rFonts w:ascii="Arial" w:eastAsia="Arial" w:hAnsi="Arial" w:cs="Arial"/>
                <w:kern w:val="0"/>
                <w:sz w:val="16"/>
                <w:szCs w:val="16"/>
                <w:lang w:eastAsia="es-MX"/>
                <w14:ligatures w14:val="none"/>
              </w:rPr>
            </w:pPr>
            <w:r w:rsidRPr="00590E99">
              <w:rPr>
                <w:rFonts w:ascii="Arial" w:eastAsia="Arial" w:hAnsi="Arial" w:cs="Arial"/>
                <w:kern w:val="0"/>
                <w:sz w:val="16"/>
                <w:szCs w:val="16"/>
                <w:lang w:eastAsia="es-MX"/>
                <w14:ligatures w14:val="none"/>
              </w:rPr>
              <w:t>BBB/M</w:t>
            </w:r>
          </w:p>
        </w:tc>
        <w:tc>
          <w:tcPr>
            <w:tcW w:w="1620"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748E9CC1" w14:textId="77777777" w:rsidR="00590E99" w:rsidRPr="00590E99" w:rsidRDefault="00000000" w:rsidP="00590E99">
            <w:pPr>
              <w:spacing w:after="0" w:line="276" w:lineRule="auto"/>
              <w:jc w:val="center"/>
              <w:rPr>
                <w:rFonts w:ascii="Arial" w:eastAsia="Arial" w:hAnsi="Arial" w:cs="Arial"/>
                <w:kern w:val="0"/>
                <w:sz w:val="16"/>
                <w:szCs w:val="16"/>
                <w:lang w:eastAsia="es-MX"/>
                <w14:ligatures w14:val="none"/>
              </w:rPr>
            </w:pPr>
            <w:r w:rsidRPr="00590E99">
              <w:rPr>
                <w:rFonts w:ascii="Arial" w:eastAsia="Arial" w:hAnsi="Arial" w:cs="Arial"/>
                <w:kern w:val="0"/>
                <w:sz w:val="16"/>
                <w:szCs w:val="16"/>
                <w:lang w:eastAsia="es-MX"/>
                <w14:ligatures w14:val="none"/>
              </w:rPr>
              <w:t>[[</w:t>
            </w:r>
            <w:r w:rsidRPr="00590E99">
              <w:rPr>
                <w:rFonts w:ascii="Arial" w:eastAsia="Arial" w:hAnsi="Arial" w:cs="Arial"/>
                <w:kern w:val="0"/>
                <w:sz w:val="16"/>
                <w:szCs w:val="16"/>
                <w:highlight w:val="yellow"/>
                <w:lang w:eastAsia="es-MX"/>
                <w14:ligatures w14:val="none"/>
              </w:rPr>
              <w:t>*</w:t>
            </w:r>
            <w:r w:rsidRPr="00590E99">
              <w:rPr>
                <w:rFonts w:ascii="Arial" w:eastAsia="Arial" w:hAnsi="Arial" w:cs="Arial"/>
                <w:kern w:val="0"/>
                <w:sz w:val="16"/>
                <w:szCs w:val="16"/>
                <w:lang w:eastAsia="es-MX"/>
                <w14:ligatures w14:val="none"/>
              </w:rPr>
              <w:t>]] %</w:t>
            </w:r>
          </w:p>
        </w:tc>
      </w:tr>
      <w:tr w:rsidR="00DA57A7" w14:paraId="15125BF8" w14:textId="77777777" w:rsidTr="00D5613F">
        <w:trPr>
          <w:trHeight w:val="300"/>
        </w:trPr>
        <w:tc>
          <w:tcPr>
            <w:tcW w:w="990" w:type="dxa"/>
            <w:tcBorders>
              <w:top w:val="nil"/>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14:paraId="60587196" w14:textId="77777777" w:rsidR="00590E99" w:rsidRPr="00590E99" w:rsidRDefault="00000000" w:rsidP="00590E99">
            <w:pPr>
              <w:spacing w:after="0" w:line="276" w:lineRule="auto"/>
              <w:jc w:val="center"/>
              <w:rPr>
                <w:rFonts w:ascii="Arial" w:eastAsia="Arial" w:hAnsi="Arial" w:cs="Arial"/>
                <w:kern w:val="0"/>
                <w:sz w:val="16"/>
                <w:szCs w:val="16"/>
                <w:lang w:eastAsia="es-MX"/>
                <w14:ligatures w14:val="none"/>
              </w:rPr>
            </w:pPr>
            <w:r w:rsidRPr="00590E99">
              <w:rPr>
                <w:rFonts w:ascii="Arial" w:eastAsia="Arial" w:hAnsi="Arial" w:cs="Arial"/>
                <w:kern w:val="0"/>
                <w:sz w:val="16"/>
                <w:szCs w:val="16"/>
                <w:lang w:eastAsia="es-MX"/>
                <w14:ligatures w14:val="none"/>
              </w:rPr>
              <w:t>mxBBB-</w:t>
            </w:r>
          </w:p>
        </w:tc>
        <w:tc>
          <w:tcPr>
            <w:tcW w:w="1095"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3C0A75F0" w14:textId="77777777" w:rsidR="00590E99" w:rsidRPr="00590E99" w:rsidRDefault="00000000" w:rsidP="00590E99">
            <w:pPr>
              <w:spacing w:after="0" w:line="276" w:lineRule="auto"/>
              <w:jc w:val="center"/>
              <w:rPr>
                <w:rFonts w:ascii="Arial" w:eastAsia="Arial" w:hAnsi="Arial" w:cs="Arial"/>
                <w:kern w:val="0"/>
                <w:sz w:val="16"/>
                <w:szCs w:val="16"/>
                <w:lang w:eastAsia="es-MX"/>
                <w14:ligatures w14:val="none"/>
              </w:rPr>
            </w:pPr>
            <w:r w:rsidRPr="00590E99">
              <w:rPr>
                <w:rFonts w:ascii="Arial" w:eastAsia="Arial" w:hAnsi="Arial" w:cs="Arial"/>
                <w:kern w:val="0"/>
                <w:sz w:val="16"/>
                <w:szCs w:val="16"/>
                <w:lang w:eastAsia="es-MX"/>
                <w14:ligatures w14:val="none"/>
              </w:rPr>
              <w:t>Baa3.mx</w:t>
            </w:r>
          </w:p>
        </w:tc>
        <w:tc>
          <w:tcPr>
            <w:tcW w:w="1380"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785B47FC" w14:textId="77777777" w:rsidR="00590E99" w:rsidRPr="00590E99" w:rsidRDefault="00000000" w:rsidP="00590E99">
            <w:pPr>
              <w:spacing w:after="0" w:line="276" w:lineRule="auto"/>
              <w:jc w:val="center"/>
              <w:rPr>
                <w:rFonts w:ascii="Arial" w:eastAsia="Arial" w:hAnsi="Arial" w:cs="Arial"/>
                <w:kern w:val="0"/>
                <w:sz w:val="16"/>
                <w:szCs w:val="16"/>
                <w:lang w:eastAsia="es-MX"/>
                <w14:ligatures w14:val="none"/>
              </w:rPr>
            </w:pPr>
            <w:r w:rsidRPr="00590E99">
              <w:rPr>
                <w:rFonts w:ascii="Arial" w:eastAsia="Arial" w:hAnsi="Arial" w:cs="Arial"/>
                <w:kern w:val="0"/>
                <w:sz w:val="16"/>
                <w:szCs w:val="16"/>
                <w:lang w:eastAsia="es-MX"/>
                <w14:ligatures w14:val="none"/>
              </w:rPr>
              <w:t>BBB- (mex)</w:t>
            </w:r>
          </w:p>
        </w:tc>
        <w:tc>
          <w:tcPr>
            <w:tcW w:w="1365"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60E5798B" w14:textId="77777777" w:rsidR="00590E99" w:rsidRPr="00590E99" w:rsidRDefault="00000000" w:rsidP="00590E99">
            <w:pPr>
              <w:spacing w:after="0" w:line="276" w:lineRule="auto"/>
              <w:jc w:val="center"/>
              <w:rPr>
                <w:rFonts w:ascii="Arial" w:eastAsia="Arial" w:hAnsi="Arial" w:cs="Arial"/>
                <w:kern w:val="0"/>
                <w:sz w:val="16"/>
                <w:szCs w:val="16"/>
                <w:lang w:eastAsia="es-MX"/>
                <w14:ligatures w14:val="none"/>
              </w:rPr>
            </w:pPr>
            <w:r w:rsidRPr="00590E99">
              <w:rPr>
                <w:rFonts w:ascii="Arial" w:eastAsia="Arial" w:hAnsi="Arial" w:cs="Arial"/>
                <w:kern w:val="0"/>
                <w:sz w:val="16"/>
                <w:szCs w:val="16"/>
                <w:lang w:eastAsia="es-MX"/>
                <w14:ligatures w14:val="none"/>
              </w:rPr>
              <w:t>HR BBB-</w:t>
            </w:r>
          </w:p>
        </w:tc>
        <w:tc>
          <w:tcPr>
            <w:tcW w:w="2090"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5E74B205" w14:textId="77777777" w:rsidR="00590E99" w:rsidRPr="00590E99" w:rsidRDefault="00000000" w:rsidP="00590E99">
            <w:pPr>
              <w:spacing w:after="0" w:line="276" w:lineRule="auto"/>
              <w:jc w:val="center"/>
              <w:rPr>
                <w:rFonts w:ascii="Arial" w:eastAsia="Arial" w:hAnsi="Arial" w:cs="Arial"/>
                <w:kern w:val="0"/>
                <w:sz w:val="16"/>
                <w:szCs w:val="16"/>
                <w:lang w:eastAsia="es-MX"/>
                <w14:ligatures w14:val="none"/>
              </w:rPr>
            </w:pPr>
            <w:r w:rsidRPr="00590E99">
              <w:rPr>
                <w:rFonts w:ascii="Arial" w:eastAsia="Arial" w:hAnsi="Arial" w:cs="Arial"/>
                <w:kern w:val="0"/>
                <w:sz w:val="16"/>
                <w:szCs w:val="16"/>
                <w:lang w:eastAsia="es-MX"/>
                <w14:ligatures w14:val="none"/>
              </w:rPr>
              <w:t>BBB-/M</w:t>
            </w:r>
          </w:p>
        </w:tc>
        <w:tc>
          <w:tcPr>
            <w:tcW w:w="1620"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3DDE5291" w14:textId="77777777" w:rsidR="00590E99" w:rsidRPr="00590E99" w:rsidRDefault="00000000" w:rsidP="00590E99">
            <w:pPr>
              <w:spacing w:after="0" w:line="276" w:lineRule="auto"/>
              <w:jc w:val="center"/>
              <w:rPr>
                <w:rFonts w:ascii="Arial" w:eastAsia="Arial" w:hAnsi="Arial" w:cs="Arial"/>
                <w:kern w:val="0"/>
                <w:sz w:val="16"/>
                <w:szCs w:val="16"/>
                <w:lang w:eastAsia="es-MX"/>
                <w14:ligatures w14:val="none"/>
              </w:rPr>
            </w:pPr>
            <w:r w:rsidRPr="00590E99">
              <w:rPr>
                <w:rFonts w:ascii="Arial" w:eastAsia="Arial" w:hAnsi="Arial" w:cs="Arial"/>
                <w:kern w:val="0"/>
                <w:sz w:val="16"/>
                <w:szCs w:val="16"/>
                <w:lang w:eastAsia="es-MX"/>
                <w14:ligatures w14:val="none"/>
              </w:rPr>
              <w:t>[[</w:t>
            </w:r>
            <w:r w:rsidRPr="00590E99">
              <w:rPr>
                <w:rFonts w:ascii="Arial" w:eastAsia="Arial" w:hAnsi="Arial" w:cs="Arial"/>
                <w:kern w:val="0"/>
                <w:sz w:val="16"/>
                <w:szCs w:val="16"/>
                <w:highlight w:val="yellow"/>
                <w:lang w:eastAsia="es-MX"/>
                <w14:ligatures w14:val="none"/>
              </w:rPr>
              <w:t>*</w:t>
            </w:r>
            <w:r w:rsidRPr="00590E99">
              <w:rPr>
                <w:rFonts w:ascii="Arial" w:eastAsia="Arial" w:hAnsi="Arial" w:cs="Arial"/>
                <w:kern w:val="0"/>
                <w:sz w:val="16"/>
                <w:szCs w:val="16"/>
                <w:lang w:eastAsia="es-MX"/>
                <w14:ligatures w14:val="none"/>
              </w:rPr>
              <w:t>]] %</w:t>
            </w:r>
          </w:p>
        </w:tc>
      </w:tr>
      <w:tr w:rsidR="00DA57A7" w14:paraId="34288A38" w14:textId="77777777" w:rsidTr="00D5613F">
        <w:trPr>
          <w:trHeight w:val="285"/>
        </w:trPr>
        <w:tc>
          <w:tcPr>
            <w:tcW w:w="990" w:type="dxa"/>
            <w:tcBorders>
              <w:top w:val="nil"/>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14:paraId="7C5F0405" w14:textId="77777777" w:rsidR="00590E99" w:rsidRPr="00590E99" w:rsidRDefault="00000000" w:rsidP="00590E99">
            <w:pPr>
              <w:spacing w:after="0" w:line="276" w:lineRule="auto"/>
              <w:jc w:val="center"/>
              <w:rPr>
                <w:rFonts w:ascii="Arial" w:eastAsia="Arial" w:hAnsi="Arial" w:cs="Arial"/>
                <w:kern w:val="0"/>
                <w:sz w:val="16"/>
                <w:szCs w:val="16"/>
                <w:lang w:eastAsia="es-MX"/>
                <w14:ligatures w14:val="none"/>
              </w:rPr>
            </w:pPr>
            <w:r w:rsidRPr="00590E99">
              <w:rPr>
                <w:rFonts w:ascii="Arial" w:eastAsia="Arial" w:hAnsi="Arial" w:cs="Arial"/>
                <w:kern w:val="0"/>
                <w:sz w:val="16"/>
                <w:szCs w:val="16"/>
                <w:lang w:eastAsia="es-MX"/>
                <w14:ligatures w14:val="none"/>
              </w:rPr>
              <w:t>mxBB+</w:t>
            </w:r>
          </w:p>
        </w:tc>
        <w:tc>
          <w:tcPr>
            <w:tcW w:w="1095"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642A263B" w14:textId="77777777" w:rsidR="00590E99" w:rsidRPr="00590E99" w:rsidRDefault="00000000" w:rsidP="00590E99">
            <w:pPr>
              <w:spacing w:after="0" w:line="276" w:lineRule="auto"/>
              <w:jc w:val="center"/>
              <w:rPr>
                <w:rFonts w:ascii="Arial" w:eastAsia="Arial" w:hAnsi="Arial" w:cs="Arial"/>
                <w:kern w:val="0"/>
                <w:sz w:val="16"/>
                <w:szCs w:val="16"/>
                <w:lang w:eastAsia="es-MX"/>
                <w14:ligatures w14:val="none"/>
              </w:rPr>
            </w:pPr>
            <w:r w:rsidRPr="00590E99">
              <w:rPr>
                <w:rFonts w:ascii="Arial" w:eastAsia="Arial" w:hAnsi="Arial" w:cs="Arial"/>
                <w:kern w:val="0"/>
                <w:sz w:val="16"/>
                <w:szCs w:val="16"/>
                <w:lang w:eastAsia="es-MX"/>
                <w14:ligatures w14:val="none"/>
              </w:rPr>
              <w:t>Ba1.mx</w:t>
            </w:r>
          </w:p>
        </w:tc>
        <w:tc>
          <w:tcPr>
            <w:tcW w:w="1380"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40098D5C" w14:textId="77777777" w:rsidR="00590E99" w:rsidRPr="00590E99" w:rsidRDefault="00000000" w:rsidP="00590E99">
            <w:pPr>
              <w:spacing w:after="0" w:line="276" w:lineRule="auto"/>
              <w:jc w:val="center"/>
              <w:rPr>
                <w:rFonts w:ascii="Arial" w:eastAsia="Arial" w:hAnsi="Arial" w:cs="Arial"/>
                <w:kern w:val="0"/>
                <w:sz w:val="16"/>
                <w:szCs w:val="16"/>
                <w:lang w:eastAsia="es-MX"/>
                <w14:ligatures w14:val="none"/>
              </w:rPr>
            </w:pPr>
            <w:r w:rsidRPr="00590E99">
              <w:rPr>
                <w:rFonts w:ascii="Arial" w:eastAsia="Arial" w:hAnsi="Arial" w:cs="Arial"/>
                <w:kern w:val="0"/>
                <w:sz w:val="16"/>
                <w:szCs w:val="16"/>
                <w:lang w:eastAsia="es-MX"/>
                <w14:ligatures w14:val="none"/>
              </w:rPr>
              <w:t>BB+ (mex)</w:t>
            </w:r>
          </w:p>
        </w:tc>
        <w:tc>
          <w:tcPr>
            <w:tcW w:w="1365"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4980D9CA" w14:textId="77777777" w:rsidR="00590E99" w:rsidRPr="00590E99" w:rsidRDefault="00000000" w:rsidP="00590E99">
            <w:pPr>
              <w:spacing w:after="0" w:line="276" w:lineRule="auto"/>
              <w:jc w:val="center"/>
              <w:rPr>
                <w:rFonts w:ascii="Arial" w:eastAsia="Arial" w:hAnsi="Arial" w:cs="Arial"/>
                <w:kern w:val="0"/>
                <w:sz w:val="16"/>
                <w:szCs w:val="16"/>
                <w:lang w:eastAsia="es-MX"/>
                <w14:ligatures w14:val="none"/>
              </w:rPr>
            </w:pPr>
            <w:r w:rsidRPr="00590E99">
              <w:rPr>
                <w:rFonts w:ascii="Arial" w:eastAsia="Arial" w:hAnsi="Arial" w:cs="Arial"/>
                <w:kern w:val="0"/>
                <w:sz w:val="16"/>
                <w:szCs w:val="16"/>
                <w:lang w:eastAsia="es-MX"/>
                <w14:ligatures w14:val="none"/>
              </w:rPr>
              <w:t>HR BB+</w:t>
            </w:r>
          </w:p>
        </w:tc>
        <w:tc>
          <w:tcPr>
            <w:tcW w:w="2090"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6F2FEC47" w14:textId="77777777" w:rsidR="00590E99" w:rsidRPr="00590E99" w:rsidRDefault="00000000" w:rsidP="00590E99">
            <w:pPr>
              <w:spacing w:after="0" w:line="276" w:lineRule="auto"/>
              <w:jc w:val="center"/>
              <w:rPr>
                <w:rFonts w:ascii="Arial" w:eastAsia="Arial" w:hAnsi="Arial" w:cs="Arial"/>
                <w:kern w:val="0"/>
                <w:sz w:val="16"/>
                <w:szCs w:val="16"/>
                <w:lang w:eastAsia="es-MX"/>
                <w14:ligatures w14:val="none"/>
              </w:rPr>
            </w:pPr>
            <w:r w:rsidRPr="00590E99">
              <w:rPr>
                <w:rFonts w:ascii="Arial" w:eastAsia="Arial" w:hAnsi="Arial" w:cs="Arial"/>
                <w:kern w:val="0"/>
                <w:sz w:val="16"/>
                <w:szCs w:val="16"/>
                <w:lang w:eastAsia="es-MX"/>
                <w14:ligatures w14:val="none"/>
              </w:rPr>
              <w:t>BB+/M</w:t>
            </w:r>
          </w:p>
        </w:tc>
        <w:tc>
          <w:tcPr>
            <w:tcW w:w="1620"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1C884E17" w14:textId="77777777" w:rsidR="00590E99" w:rsidRPr="00590E99" w:rsidRDefault="00000000" w:rsidP="00590E99">
            <w:pPr>
              <w:spacing w:after="0" w:line="276" w:lineRule="auto"/>
              <w:jc w:val="center"/>
              <w:rPr>
                <w:rFonts w:ascii="Arial" w:eastAsia="Arial" w:hAnsi="Arial" w:cs="Arial"/>
                <w:kern w:val="0"/>
                <w:sz w:val="16"/>
                <w:szCs w:val="16"/>
                <w:lang w:eastAsia="es-MX"/>
                <w14:ligatures w14:val="none"/>
              </w:rPr>
            </w:pPr>
            <w:r w:rsidRPr="00590E99">
              <w:rPr>
                <w:rFonts w:ascii="Arial" w:eastAsia="Arial" w:hAnsi="Arial" w:cs="Arial"/>
                <w:kern w:val="0"/>
                <w:sz w:val="16"/>
                <w:szCs w:val="16"/>
                <w:lang w:eastAsia="es-MX"/>
                <w14:ligatures w14:val="none"/>
              </w:rPr>
              <w:t>[[</w:t>
            </w:r>
            <w:r w:rsidRPr="00590E99">
              <w:rPr>
                <w:rFonts w:ascii="Arial" w:eastAsia="Arial" w:hAnsi="Arial" w:cs="Arial"/>
                <w:kern w:val="0"/>
                <w:sz w:val="16"/>
                <w:szCs w:val="16"/>
                <w:highlight w:val="yellow"/>
                <w:lang w:eastAsia="es-MX"/>
                <w14:ligatures w14:val="none"/>
              </w:rPr>
              <w:t>*</w:t>
            </w:r>
            <w:r w:rsidRPr="00590E99">
              <w:rPr>
                <w:rFonts w:ascii="Arial" w:eastAsia="Arial" w:hAnsi="Arial" w:cs="Arial"/>
                <w:kern w:val="0"/>
                <w:sz w:val="16"/>
                <w:szCs w:val="16"/>
                <w:lang w:eastAsia="es-MX"/>
                <w14:ligatures w14:val="none"/>
              </w:rPr>
              <w:t>]] %</w:t>
            </w:r>
          </w:p>
        </w:tc>
      </w:tr>
      <w:tr w:rsidR="00DA57A7" w14:paraId="74728E79" w14:textId="77777777" w:rsidTr="00D5613F">
        <w:trPr>
          <w:trHeight w:val="285"/>
        </w:trPr>
        <w:tc>
          <w:tcPr>
            <w:tcW w:w="990" w:type="dxa"/>
            <w:tcBorders>
              <w:top w:val="nil"/>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14:paraId="124B5339" w14:textId="77777777" w:rsidR="00590E99" w:rsidRPr="00590E99" w:rsidRDefault="00000000" w:rsidP="00590E99">
            <w:pPr>
              <w:spacing w:after="0" w:line="276" w:lineRule="auto"/>
              <w:jc w:val="center"/>
              <w:rPr>
                <w:rFonts w:ascii="Arial" w:eastAsia="Arial" w:hAnsi="Arial" w:cs="Arial"/>
                <w:kern w:val="0"/>
                <w:sz w:val="16"/>
                <w:szCs w:val="16"/>
                <w:lang w:eastAsia="es-MX"/>
                <w14:ligatures w14:val="none"/>
              </w:rPr>
            </w:pPr>
            <w:r w:rsidRPr="00590E99">
              <w:rPr>
                <w:rFonts w:ascii="Arial" w:eastAsia="Arial" w:hAnsi="Arial" w:cs="Arial"/>
                <w:kern w:val="0"/>
                <w:sz w:val="16"/>
                <w:szCs w:val="16"/>
                <w:lang w:eastAsia="es-MX"/>
                <w14:ligatures w14:val="none"/>
              </w:rPr>
              <w:t>mxBB</w:t>
            </w:r>
          </w:p>
        </w:tc>
        <w:tc>
          <w:tcPr>
            <w:tcW w:w="1095"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6EC4731E" w14:textId="77777777" w:rsidR="00590E99" w:rsidRPr="00590E99" w:rsidRDefault="00000000" w:rsidP="00590E99">
            <w:pPr>
              <w:spacing w:after="0" w:line="276" w:lineRule="auto"/>
              <w:jc w:val="center"/>
              <w:rPr>
                <w:rFonts w:ascii="Arial" w:eastAsia="Arial" w:hAnsi="Arial" w:cs="Arial"/>
                <w:kern w:val="0"/>
                <w:sz w:val="16"/>
                <w:szCs w:val="16"/>
                <w:lang w:eastAsia="es-MX"/>
                <w14:ligatures w14:val="none"/>
              </w:rPr>
            </w:pPr>
            <w:r w:rsidRPr="00590E99">
              <w:rPr>
                <w:rFonts w:ascii="Arial" w:eastAsia="Arial" w:hAnsi="Arial" w:cs="Arial"/>
                <w:kern w:val="0"/>
                <w:sz w:val="16"/>
                <w:szCs w:val="16"/>
                <w:lang w:eastAsia="es-MX"/>
                <w14:ligatures w14:val="none"/>
              </w:rPr>
              <w:t>Ba2.mx</w:t>
            </w:r>
          </w:p>
        </w:tc>
        <w:tc>
          <w:tcPr>
            <w:tcW w:w="1380"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018135B2" w14:textId="77777777" w:rsidR="00590E99" w:rsidRPr="00590E99" w:rsidRDefault="00000000" w:rsidP="00590E99">
            <w:pPr>
              <w:spacing w:after="0" w:line="276" w:lineRule="auto"/>
              <w:jc w:val="center"/>
              <w:rPr>
                <w:rFonts w:ascii="Arial" w:eastAsia="Arial" w:hAnsi="Arial" w:cs="Arial"/>
                <w:kern w:val="0"/>
                <w:sz w:val="16"/>
                <w:szCs w:val="16"/>
                <w:lang w:eastAsia="es-MX"/>
                <w14:ligatures w14:val="none"/>
              </w:rPr>
            </w:pPr>
            <w:r w:rsidRPr="00590E99">
              <w:rPr>
                <w:rFonts w:ascii="Arial" w:eastAsia="Arial" w:hAnsi="Arial" w:cs="Arial"/>
                <w:kern w:val="0"/>
                <w:sz w:val="16"/>
                <w:szCs w:val="16"/>
                <w:lang w:eastAsia="es-MX"/>
                <w14:ligatures w14:val="none"/>
              </w:rPr>
              <w:t>BB (mex)</w:t>
            </w:r>
          </w:p>
        </w:tc>
        <w:tc>
          <w:tcPr>
            <w:tcW w:w="1365"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54F5A170" w14:textId="77777777" w:rsidR="00590E99" w:rsidRPr="00590E99" w:rsidRDefault="00000000" w:rsidP="00590E99">
            <w:pPr>
              <w:spacing w:after="0" w:line="276" w:lineRule="auto"/>
              <w:jc w:val="center"/>
              <w:rPr>
                <w:rFonts w:ascii="Arial" w:eastAsia="Arial" w:hAnsi="Arial" w:cs="Arial"/>
                <w:kern w:val="0"/>
                <w:sz w:val="16"/>
                <w:szCs w:val="16"/>
                <w:lang w:eastAsia="es-MX"/>
                <w14:ligatures w14:val="none"/>
              </w:rPr>
            </w:pPr>
            <w:r w:rsidRPr="00590E99">
              <w:rPr>
                <w:rFonts w:ascii="Arial" w:eastAsia="Arial" w:hAnsi="Arial" w:cs="Arial"/>
                <w:kern w:val="0"/>
                <w:sz w:val="16"/>
                <w:szCs w:val="16"/>
                <w:lang w:eastAsia="es-MX"/>
                <w14:ligatures w14:val="none"/>
              </w:rPr>
              <w:t>HR BB</w:t>
            </w:r>
          </w:p>
        </w:tc>
        <w:tc>
          <w:tcPr>
            <w:tcW w:w="2090"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6E3F333B" w14:textId="77777777" w:rsidR="00590E99" w:rsidRPr="00590E99" w:rsidRDefault="00000000" w:rsidP="00590E99">
            <w:pPr>
              <w:spacing w:after="0" w:line="276" w:lineRule="auto"/>
              <w:jc w:val="center"/>
              <w:rPr>
                <w:rFonts w:ascii="Arial" w:eastAsia="Arial" w:hAnsi="Arial" w:cs="Arial"/>
                <w:kern w:val="0"/>
                <w:sz w:val="16"/>
                <w:szCs w:val="16"/>
                <w:lang w:eastAsia="es-MX"/>
                <w14:ligatures w14:val="none"/>
              </w:rPr>
            </w:pPr>
            <w:r w:rsidRPr="00590E99">
              <w:rPr>
                <w:rFonts w:ascii="Arial" w:eastAsia="Arial" w:hAnsi="Arial" w:cs="Arial"/>
                <w:kern w:val="0"/>
                <w:sz w:val="16"/>
                <w:szCs w:val="16"/>
                <w:lang w:eastAsia="es-MX"/>
                <w14:ligatures w14:val="none"/>
              </w:rPr>
              <w:t>BB/M</w:t>
            </w:r>
          </w:p>
        </w:tc>
        <w:tc>
          <w:tcPr>
            <w:tcW w:w="1620"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099D592B" w14:textId="77777777" w:rsidR="00590E99" w:rsidRPr="00590E99" w:rsidRDefault="00000000" w:rsidP="00590E99">
            <w:pPr>
              <w:spacing w:after="0" w:line="276" w:lineRule="auto"/>
              <w:jc w:val="center"/>
              <w:rPr>
                <w:rFonts w:ascii="Arial" w:eastAsia="Arial" w:hAnsi="Arial" w:cs="Arial"/>
                <w:kern w:val="0"/>
                <w:sz w:val="16"/>
                <w:szCs w:val="16"/>
                <w:lang w:eastAsia="es-MX"/>
                <w14:ligatures w14:val="none"/>
              </w:rPr>
            </w:pPr>
            <w:r w:rsidRPr="00590E99">
              <w:rPr>
                <w:rFonts w:ascii="Arial" w:eastAsia="Arial" w:hAnsi="Arial" w:cs="Arial"/>
                <w:kern w:val="0"/>
                <w:sz w:val="16"/>
                <w:szCs w:val="16"/>
                <w:lang w:eastAsia="es-MX"/>
                <w14:ligatures w14:val="none"/>
              </w:rPr>
              <w:t>[[</w:t>
            </w:r>
            <w:r w:rsidRPr="00590E99">
              <w:rPr>
                <w:rFonts w:ascii="Arial" w:eastAsia="Arial" w:hAnsi="Arial" w:cs="Arial"/>
                <w:kern w:val="0"/>
                <w:sz w:val="16"/>
                <w:szCs w:val="16"/>
                <w:highlight w:val="yellow"/>
                <w:lang w:eastAsia="es-MX"/>
                <w14:ligatures w14:val="none"/>
              </w:rPr>
              <w:t>*</w:t>
            </w:r>
            <w:r w:rsidRPr="00590E99">
              <w:rPr>
                <w:rFonts w:ascii="Arial" w:eastAsia="Arial" w:hAnsi="Arial" w:cs="Arial"/>
                <w:kern w:val="0"/>
                <w:sz w:val="16"/>
                <w:szCs w:val="16"/>
                <w:lang w:eastAsia="es-MX"/>
                <w14:ligatures w14:val="none"/>
              </w:rPr>
              <w:t>]] %</w:t>
            </w:r>
          </w:p>
        </w:tc>
      </w:tr>
      <w:tr w:rsidR="00DA57A7" w14:paraId="19F6295B" w14:textId="77777777" w:rsidTr="00D5613F">
        <w:trPr>
          <w:trHeight w:val="285"/>
        </w:trPr>
        <w:tc>
          <w:tcPr>
            <w:tcW w:w="990" w:type="dxa"/>
            <w:tcBorders>
              <w:top w:val="nil"/>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14:paraId="69D0BF93" w14:textId="77777777" w:rsidR="00590E99" w:rsidRPr="00590E99" w:rsidRDefault="00000000" w:rsidP="00590E99">
            <w:pPr>
              <w:spacing w:after="0" w:line="276" w:lineRule="auto"/>
              <w:jc w:val="center"/>
              <w:rPr>
                <w:rFonts w:ascii="Arial" w:eastAsia="Arial" w:hAnsi="Arial" w:cs="Arial"/>
                <w:kern w:val="0"/>
                <w:sz w:val="16"/>
                <w:szCs w:val="16"/>
                <w:lang w:eastAsia="es-MX"/>
                <w14:ligatures w14:val="none"/>
              </w:rPr>
            </w:pPr>
            <w:r w:rsidRPr="00590E99">
              <w:rPr>
                <w:rFonts w:ascii="Arial" w:eastAsia="Arial" w:hAnsi="Arial" w:cs="Arial"/>
                <w:kern w:val="0"/>
                <w:sz w:val="16"/>
                <w:szCs w:val="16"/>
                <w:lang w:eastAsia="es-MX"/>
                <w14:ligatures w14:val="none"/>
              </w:rPr>
              <w:t>mxBB-</w:t>
            </w:r>
          </w:p>
        </w:tc>
        <w:tc>
          <w:tcPr>
            <w:tcW w:w="1095"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085261EB" w14:textId="77777777" w:rsidR="00590E99" w:rsidRPr="00590E99" w:rsidRDefault="00000000" w:rsidP="00590E99">
            <w:pPr>
              <w:spacing w:after="0" w:line="276" w:lineRule="auto"/>
              <w:jc w:val="center"/>
              <w:rPr>
                <w:rFonts w:ascii="Arial" w:eastAsia="Arial" w:hAnsi="Arial" w:cs="Arial"/>
                <w:kern w:val="0"/>
                <w:sz w:val="16"/>
                <w:szCs w:val="16"/>
                <w:lang w:eastAsia="es-MX"/>
                <w14:ligatures w14:val="none"/>
              </w:rPr>
            </w:pPr>
            <w:r w:rsidRPr="00590E99">
              <w:rPr>
                <w:rFonts w:ascii="Arial" w:eastAsia="Arial" w:hAnsi="Arial" w:cs="Arial"/>
                <w:kern w:val="0"/>
                <w:sz w:val="16"/>
                <w:szCs w:val="16"/>
                <w:lang w:eastAsia="es-MX"/>
                <w14:ligatures w14:val="none"/>
              </w:rPr>
              <w:t>Ba3.mx</w:t>
            </w:r>
          </w:p>
        </w:tc>
        <w:tc>
          <w:tcPr>
            <w:tcW w:w="1380"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5B831CFB" w14:textId="77777777" w:rsidR="00590E99" w:rsidRPr="00590E99" w:rsidRDefault="00000000" w:rsidP="00590E99">
            <w:pPr>
              <w:spacing w:after="0" w:line="276" w:lineRule="auto"/>
              <w:jc w:val="center"/>
              <w:rPr>
                <w:rFonts w:ascii="Arial" w:eastAsia="Arial" w:hAnsi="Arial" w:cs="Arial"/>
                <w:kern w:val="0"/>
                <w:sz w:val="16"/>
                <w:szCs w:val="16"/>
                <w:lang w:eastAsia="es-MX"/>
                <w14:ligatures w14:val="none"/>
              </w:rPr>
            </w:pPr>
            <w:r w:rsidRPr="00590E99">
              <w:rPr>
                <w:rFonts w:ascii="Arial" w:eastAsia="Arial" w:hAnsi="Arial" w:cs="Arial"/>
                <w:kern w:val="0"/>
                <w:sz w:val="16"/>
                <w:szCs w:val="16"/>
                <w:lang w:eastAsia="es-MX"/>
                <w14:ligatures w14:val="none"/>
              </w:rPr>
              <w:t>BB- (mex)</w:t>
            </w:r>
          </w:p>
        </w:tc>
        <w:tc>
          <w:tcPr>
            <w:tcW w:w="1365"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4FFBB441" w14:textId="77777777" w:rsidR="00590E99" w:rsidRPr="00590E99" w:rsidRDefault="00000000" w:rsidP="00590E99">
            <w:pPr>
              <w:spacing w:after="0" w:line="276" w:lineRule="auto"/>
              <w:jc w:val="center"/>
              <w:rPr>
                <w:rFonts w:ascii="Arial" w:eastAsia="Arial" w:hAnsi="Arial" w:cs="Arial"/>
                <w:kern w:val="0"/>
                <w:sz w:val="16"/>
                <w:szCs w:val="16"/>
                <w:lang w:eastAsia="es-MX"/>
                <w14:ligatures w14:val="none"/>
              </w:rPr>
            </w:pPr>
            <w:r w:rsidRPr="00590E99">
              <w:rPr>
                <w:rFonts w:ascii="Arial" w:eastAsia="Arial" w:hAnsi="Arial" w:cs="Arial"/>
                <w:kern w:val="0"/>
                <w:sz w:val="16"/>
                <w:szCs w:val="16"/>
                <w:lang w:eastAsia="es-MX"/>
                <w14:ligatures w14:val="none"/>
              </w:rPr>
              <w:t>HR BB-</w:t>
            </w:r>
          </w:p>
        </w:tc>
        <w:tc>
          <w:tcPr>
            <w:tcW w:w="2090"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063F111C" w14:textId="77777777" w:rsidR="00590E99" w:rsidRPr="00590E99" w:rsidRDefault="00000000" w:rsidP="00590E99">
            <w:pPr>
              <w:spacing w:after="0" w:line="276" w:lineRule="auto"/>
              <w:jc w:val="center"/>
              <w:rPr>
                <w:rFonts w:ascii="Arial" w:eastAsia="Arial" w:hAnsi="Arial" w:cs="Arial"/>
                <w:kern w:val="0"/>
                <w:sz w:val="16"/>
                <w:szCs w:val="16"/>
                <w:lang w:eastAsia="es-MX"/>
                <w14:ligatures w14:val="none"/>
              </w:rPr>
            </w:pPr>
            <w:r w:rsidRPr="00590E99">
              <w:rPr>
                <w:rFonts w:ascii="Arial" w:eastAsia="Arial" w:hAnsi="Arial" w:cs="Arial"/>
                <w:kern w:val="0"/>
                <w:sz w:val="16"/>
                <w:szCs w:val="16"/>
                <w:lang w:eastAsia="es-MX"/>
                <w14:ligatures w14:val="none"/>
              </w:rPr>
              <w:t>BB-/M</w:t>
            </w:r>
          </w:p>
        </w:tc>
        <w:tc>
          <w:tcPr>
            <w:tcW w:w="1620"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3C801D70" w14:textId="77777777" w:rsidR="00590E99" w:rsidRPr="00590E99" w:rsidRDefault="00000000" w:rsidP="00590E99">
            <w:pPr>
              <w:spacing w:after="0" w:line="276" w:lineRule="auto"/>
              <w:jc w:val="center"/>
              <w:rPr>
                <w:rFonts w:ascii="Arial" w:eastAsia="Arial" w:hAnsi="Arial" w:cs="Arial"/>
                <w:kern w:val="0"/>
                <w:sz w:val="16"/>
                <w:szCs w:val="16"/>
                <w:lang w:eastAsia="es-MX"/>
                <w14:ligatures w14:val="none"/>
              </w:rPr>
            </w:pPr>
            <w:r w:rsidRPr="00590E99">
              <w:rPr>
                <w:rFonts w:ascii="Arial" w:eastAsia="Arial" w:hAnsi="Arial" w:cs="Arial"/>
                <w:kern w:val="0"/>
                <w:sz w:val="16"/>
                <w:szCs w:val="16"/>
                <w:lang w:eastAsia="es-MX"/>
                <w14:ligatures w14:val="none"/>
              </w:rPr>
              <w:t>[[</w:t>
            </w:r>
            <w:r w:rsidRPr="00590E99">
              <w:rPr>
                <w:rFonts w:ascii="Arial" w:eastAsia="Arial" w:hAnsi="Arial" w:cs="Arial"/>
                <w:kern w:val="0"/>
                <w:sz w:val="16"/>
                <w:szCs w:val="16"/>
                <w:highlight w:val="yellow"/>
                <w:lang w:eastAsia="es-MX"/>
                <w14:ligatures w14:val="none"/>
              </w:rPr>
              <w:t>*</w:t>
            </w:r>
            <w:r w:rsidRPr="00590E99">
              <w:rPr>
                <w:rFonts w:ascii="Arial" w:eastAsia="Arial" w:hAnsi="Arial" w:cs="Arial"/>
                <w:kern w:val="0"/>
                <w:sz w:val="16"/>
                <w:szCs w:val="16"/>
                <w:lang w:eastAsia="es-MX"/>
                <w14:ligatures w14:val="none"/>
              </w:rPr>
              <w:t>]] %</w:t>
            </w:r>
          </w:p>
        </w:tc>
      </w:tr>
      <w:tr w:rsidR="00DA57A7" w14:paraId="30D9855D" w14:textId="77777777" w:rsidTr="00D5613F">
        <w:trPr>
          <w:trHeight w:val="285"/>
        </w:trPr>
        <w:tc>
          <w:tcPr>
            <w:tcW w:w="990" w:type="dxa"/>
            <w:tcBorders>
              <w:top w:val="nil"/>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14:paraId="139D4F78" w14:textId="77777777" w:rsidR="00590E99" w:rsidRPr="00590E99" w:rsidRDefault="00000000" w:rsidP="00590E99">
            <w:pPr>
              <w:spacing w:after="0" w:line="276" w:lineRule="auto"/>
              <w:jc w:val="center"/>
              <w:rPr>
                <w:rFonts w:ascii="Arial" w:eastAsia="Arial" w:hAnsi="Arial" w:cs="Arial"/>
                <w:kern w:val="0"/>
                <w:sz w:val="16"/>
                <w:szCs w:val="16"/>
                <w:lang w:eastAsia="es-MX"/>
                <w14:ligatures w14:val="none"/>
              </w:rPr>
            </w:pPr>
            <w:r w:rsidRPr="00590E99">
              <w:rPr>
                <w:rFonts w:ascii="Arial" w:eastAsia="Arial" w:hAnsi="Arial" w:cs="Arial"/>
                <w:kern w:val="0"/>
                <w:sz w:val="16"/>
                <w:szCs w:val="16"/>
                <w:lang w:eastAsia="es-MX"/>
                <w14:ligatures w14:val="none"/>
              </w:rPr>
              <w:t>mxB+</w:t>
            </w:r>
          </w:p>
        </w:tc>
        <w:tc>
          <w:tcPr>
            <w:tcW w:w="1095"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14FE660B" w14:textId="77777777" w:rsidR="00590E99" w:rsidRPr="00590E99" w:rsidRDefault="00000000" w:rsidP="00590E99">
            <w:pPr>
              <w:spacing w:after="0" w:line="276" w:lineRule="auto"/>
              <w:jc w:val="center"/>
              <w:rPr>
                <w:rFonts w:ascii="Arial" w:eastAsia="Arial" w:hAnsi="Arial" w:cs="Arial"/>
                <w:kern w:val="0"/>
                <w:sz w:val="16"/>
                <w:szCs w:val="16"/>
                <w:lang w:eastAsia="es-MX"/>
                <w14:ligatures w14:val="none"/>
              </w:rPr>
            </w:pPr>
            <w:r w:rsidRPr="00590E99">
              <w:rPr>
                <w:rFonts w:ascii="Arial" w:eastAsia="Arial" w:hAnsi="Arial" w:cs="Arial"/>
                <w:kern w:val="0"/>
                <w:sz w:val="16"/>
                <w:szCs w:val="16"/>
                <w:lang w:eastAsia="es-MX"/>
                <w14:ligatures w14:val="none"/>
              </w:rPr>
              <w:t>B1.mx</w:t>
            </w:r>
          </w:p>
        </w:tc>
        <w:tc>
          <w:tcPr>
            <w:tcW w:w="1380"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7E9D775A" w14:textId="77777777" w:rsidR="00590E99" w:rsidRPr="00590E99" w:rsidRDefault="00000000" w:rsidP="00590E99">
            <w:pPr>
              <w:spacing w:after="0" w:line="276" w:lineRule="auto"/>
              <w:jc w:val="center"/>
              <w:rPr>
                <w:rFonts w:ascii="Arial" w:eastAsia="Arial" w:hAnsi="Arial" w:cs="Arial"/>
                <w:kern w:val="0"/>
                <w:sz w:val="16"/>
                <w:szCs w:val="16"/>
                <w:lang w:eastAsia="es-MX"/>
                <w14:ligatures w14:val="none"/>
              </w:rPr>
            </w:pPr>
            <w:r w:rsidRPr="00590E99">
              <w:rPr>
                <w:rFonts w:ascii="Arial" w:eastAsia="Arial" w:hAnsi="Arial" w:cs="Arial"/>
                <w:kern w:val="0"/>
                <w:sz w:val="16"/>
                <w:szCs w:val="16"/>
                <w:lang w:eastAsia="es-MX"/>
                <w14:ligatures w14:val="none"/>
              </w:rPr>
              <w:t>B+ (mex)</w:t>
            </w:r>
          </w:p>
        </w:tc>
        <w:tc>
          <w:tcPr>
            <w:tcW w:w="1365"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79F8C335" w14:textId="77777777" w:rsidR="00590E99" w:rsidRPr="00590E99" w:rsidRDefault="00000000" w:rsidP="00590E99">
            <w:pPr>
              <w:spacing w:after="0" w:line="276" w:lineRule="auto"/>
              <w:jc w:val="center"/>
              <w:rPr>
                <w:rFonts w:ascii="Arial" w:eastAsia="Arial" w:hAnsi="Arial" w:cs="Arial"/>
                <w:kern w:val="0"/>
                <w:sz w:val="16"/>
                <w:szCs w:val="16"/>
                <w:lang w:eastAsia="es-MX"/>
                <w14:ligatures w14:val="none"/>
              </w:rPr>
            </w:pPr>
            <w:r w:rsidRPr="00590E99">
              <w:rPr>
                <w:rFonts w:ascii="Arial" w:eastAsia="Arial" w:hAnsi="Arial" w:cs="Arial"/>
                <w:kern w:val="0"/>
                <w:sz w:val="16"/>
                <w:szCs w:val="16"/>
                <w:lang w:eastAsia="es-MX"/>
                <w14:ligatures w14:val="none"/>
              </w:rPr>
              <w:t>HR B+</w:t>
            </w:r>
          </w:p>
        </w:tc>
        <w:tc>
          <w:tcPr>
            <w:tcW w:w="2090"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5765D0D9" w14:textId="77777777" w:rsidR="00590E99" w:rsidRPr="00590E99" w:rsidRDefault="00000000" w:rsidP="00590E99">
            <w:pPr>
              <w:spacing w:after="0" w:line="276" w:lineRule="auto"/>
              <w:jc w:val="center"/>
              <w:rPr>
                <w:rFonts w:ascii="Arial" w:eastAsia="Arial" w:hAnsi="Arial" w:cs="Arial"/>
                <w:kern w:val="0"/>
                <w:sz w:val="16"/>
                <w:szCs w:val="16"/>
                <w:lang w:eastAsia="es-MX"/>
                <w14:ligatures w14:val="none"/>
              </w:rPr>
            </w:pPr>
            <w:r w:rsidRPr="00590E99">
              <w:rPr>
                <w:rFonts w:ascii="Arial" w:eastAsia="Arial" w:hAnsi="Arial" w:cs="Arial"/>
                <w:kern w:val="0"/>
                <w:sz w:val="16"/>
                <w:szCs w:val="16"/>
                <w:lang w:eastAsia="es-MX"/>
                <w14:ligatures w14:val="none"/>
              </w:rPr>
              <w:t>B+/M</w:t>
            </w:r>
          </w:p>
        </w:tc>
        <w:tc>
          <w:tcPr>
            <w:tcW w:w="1620"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7809F3C3" w14:textId="77777777" w:rsidR="00590E99" w:rsidRPr="00590E99" w:rsidRDefault="00000000" w:rsidP="00590E99">
            <w:pPr>
              <w:spacing w:after="0" w:line="276" w:lineRule="auto"/>
              <w:jc w:val="center"/>
              <w:rPr>
                <w:rFonts w:ascii="Arial" w:eastAsia="Arial" w:hAnsi="Arial" w:cs="Arial"/>
                <w:kern w:val="0"/>
                <w:sz w:val="16"/>
                <w:szCs w:val="16"/>
                <w:lang w:eastAsia="es-MX"/>
                <w14:ligatures w14:val="none"/>
              </w:rPr>
            </w:pPr>
            <w:r w:rsidRPr="00590E99">
              <w:rPr>
                <w:rFonts w:ascii="Arial" w:eastAsia="Arial" w:hAnsi="Arial" w:cs="Arial"/>
                <w:kern w:val="0"/>
                <w:sz w:val="16"/>
                <w:szCs w:val="16"/>
                <w:lang w:eastAsia="es-MX"/>
                <w14:ligatures w14:val="none"/>
              </w:rPr>
              <w:t>[[</w:t>
            </w:r>
            <w:r w:rsidRPr="00590E99">
              <w:rPr>
                <w:rFonts w:ascii="Arial" w:eastAsia="Arial" w:hAnsi="Arial" w:cs="Arial"/>
                <w:kern w:val="0"/>
                <w:sz w:val="16"/>
                <w:szCs w:val="16"/>
                <w:highlight w:val="yellow"/>
                <w:lang w:eastAsia="es-MX"/>
                <w14:ligatures w14:val="none"/>
              </w:rPr>
              <w:t>*</w:t>
            </w:r>
            <w:r w:rsidRPr="00590E99">
              <w:rPr>
                <w:rFonts w:ascii="Arial" w:eastAsia="Arial" w:hAnsi="Arial" w:cs="Arial"/>
                <w:kern w:val="0"/>
                <w:sz w:val="16"/>
                <w:szCs w:val="16"/>
                <w:lang w:eastAsia="es-MX"/>
                <w14:ligatures w14:val="none"/>
              </w:rPr>
              <w:t>]] %</w:t>
            </w:r>
          </w:p>
        </w:tc>
      </w:tr>
      <w:tr w:rsidR="00DA57A7" w14:paraId="0A506908" w14:textId="77777777" w:rsidTr="00D5613F">
        <w:trPr>
          <w:trHeight w:val="285"/>
        </w:trPr>
        <w:tc>
          <w:tcPr>
            <w:tcW w:w="990" w:type="dxa"/>
            <w:tcBorders>
              <w:top w:val="nil"/>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14:paraId="23DE0EA3" w14:textId="77777777" w:rsidR="00590E99" w:rsidRPr="00590E99" w:rsidRDefault="00000000" w:rsidP="00590E99">
            <w:pPr>
              <w:spacing w:after="0" w:line="276" w:lineRule="auto"/>
              <w:jc w:val="center"/>
              <w:rPr>
                <w:rFonts w:ascii="Arial" w:eastAsia="Arial" w:hAnsi="Arial" w:cs="Arial"/>
                <w:kern w:val="0"/>
                <w:sz w:val="16"/>
                <w:szCs w:val="16"/>
                <w:lang w:eastAsia="es-MX"/>
                <w14:ligatures w14:val="none"/>
              </w:rPr>
            </w:pPr>
            <w:r w:rsidRPr="00590E99">
              <w:rPr>
                <w:rFonts w:ascii="Arial" w:eastAsia="Arial" w:hAnsi="Arial" w:cs="Arial"/>
                <w:kern w:val="0"/>
                <w:sz w:val="16"/>
                <w:szCs w:val="16"/>
                <w:lang w:eastAsia="es-MX"/>
                <w14:ligatures w14:val="none"/>
              </w:rPr>
              <w:t>mxB</w:t>
            </w:r>
          </w:p>
        </w:tc>
        <w:tc>
          <w:tcPr>
            <w:tcW w:w="1095"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18E4527E" w14:textId="77777777" w:rsidR="00590E99" w:rsidRPr="00590E99" w:rsidRDefault="00000000" w:rsidP="00590E99">
            <w:pPr>
              <w:spacing w:after="0" w:line="276" w:lineRule="auto"/>
              <w:jc w:val="center"/>
              <w:rPr>
                <w:rFonts w:ascii="Arial" w:eastAsia="Arial" w:hAnsi="Arial" w:cs="Arial"/>
                <w:kern w:val="0"/>
                <w:sz w:val="16"/>
                <w:szCs w:val="16"/>
                <w:lang w:eastAsia="es-MX"/>
                <w14:ligatures w14:val="none"/>
              </w:rPr>
            </w:pPr>
            <w:r w:rsidRPr="00590E99">
              <w:rPr>
                <w:rFonts w:ascii="Arial" w:eastAsia="Arial" w:hAnsi="Arial" w:cs="Arial"/>
                <w:kern w:val="0"/>
                <w:sz w:val="16"/>
                <w:szCs w:val="16"/>
                <w:lang w:eastAsia="es-MX"/>
                <w14:ligatures w14:val="none"/>
              </w:rPr>
              <w:t>B2.mx</w:t>
            </w:r>
          </w:p>
        </w:tc>
        <w:tc>
          <w:tcPr>
            <w:tcW w:w="1380"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0A3D65FF" w14:textId="77777777" w:rsidR="00590E99" w:rsidRPr="00590E99" w:rsidRDefault="00000000" w:rsidP="00590E99">
            <w:pPr>
              <w:spacing w:after="0" w:line="276" w:lineRule="auto"/>
              <w:jc w:val="center"/>
              <w:rPr>
                <w:rFonts w:ascii="Arial" w:eastAsia="Arial" w:hAnsi="Arial" w:cs="Arial"/>
                <w:kern w:val="0"/>
                <w:sz w:val="16"/>
                <w:szCs w:val="16"/>
                <w:lang w:eastAsia="es-MX"/>
                <w14:ligatures w14:val="none"/>
              </w:rPr>
            </w:pPr>
            <w:r w:rsidRPr="00590E99">
              <w:rPr>
                <w:rFonts w:ascii="Arial" w:eastAsia="Arial" w:hAnsi="Arial" w:cs="Arial"/>
                <w:kern w:val="0"/>
                <w:sz w:val="16"/>
                <w:szCs w:val="16"/>
                <w:lang w:eastAsia="es-MX"/>
                <w14:ligatures w14:val="none"/>
              </w:rPr>
              <w:t>B (mex)</w:t>
            </w:r>
          </w:p>
        </w:tc>
        <w:tc>
          <w:tcPr>
            <w:tcW w:w="1365"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707EA048" w14:textId="77777777" w:rsidR="00590E99" w:rsidRPr="00590E99" w:rsidRDefault="00000000" w:rsidP="00590E99">
            <w:pPr>
              <w:spacing w:after="0" w:line="276" w:lineRule="auto"/>
              <w:jc w:val="center"/>
              <w:rPr>
                <w:rFonts w:ascii="Arial" w:eastAsia="Arial" w:hAnsi="Arial" w:cs="Arial"/>
                <w:kern w:val="0"/>
                <w:sz w:val="16"/>
                <w:szCs w:val="16"/>
                <w:lang w:eastAsia="es-MX"/>
                <w14:ligatures w14:val="none"/>
              </w:rPr>
            </w:pPr>
            <w:r w:rsidRPr="00590E99">
              <w:rPr>
                <w:rFonts w:ascii="Arial" w:eastAsia="Arial" w:hAnsi="Arial" w:cs="Arial"/>
                <w:kern w:val="0"/>
                <w:sz w:val="16"/>
                <w:szCs w:val="16"/>
                <w:lang w:eastAsia="es-MX"/>
                <w14:ligatures w14:val="none"/>
              </w:rPr>
              <w:t>HR B</w:t>
            </w:r>
          </w:p>
        </w:tc>
        <w:tc>
          <w:tcPr>
            <w:tcW w:w="2090"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44D7D049" w14:textId="77777777" w:rsidR="00590E99" w:rsidRPr="00590E99" w:rsidRDefault="00000000" w:rsidP="00590E99">
            <w:pPr>
              <w:spacing w:after="0" w:line="276" w:lineRule="auto"/>
              <w:jc w:val="center"/>
              <w:rPr>
                <w:rFonts w:ascii="Arial" w:eastAsia="Arial" w:hAnsi="Arial" w:cs="Arial"/>
                <w:kern w:val="0"/>
                <w:sz w:val="16"/>
                <w:szCs w:val="16"/>
                <w:lang w:eastAsia="es-MX"/>
                <w14:ligatures w14:val="none"/>
              </w:rPr>
            </w:pPr>
            <w:r w:rsidRPr="00590E99">
              <w:rPr>
                <w:rFonts w:ascii="Arial" w:eastAsia="Arial" w:hAnsi="Arial" w:cs="Arial"/>
                <w:kern w:val="0"/>
                <w:sz w:val="16"/>
                <w:szCs w:val="16"/>
                <w:lang w:eastAsia="es-MX"/>
                <w14:ligatures w14:val="none"/>
              </w:rPr>
              <w:t>B/M</w:t>
            </w:r>
          </w:p>
        </w:tc>
        <w:tc>
          <w:tcPr>
            <w:tcW w:w="1620"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265E4A2D" w14:textId="77777777" w:rsidR="00590E99" w:rsidRPr="00590E99" w:rsidRDefault="00000000" w:rsidP="00590E99">
            <w:pPr>
              <w:spacing w:after="0" w:line="276" w:lineRule="auto"/>
              <w:jc w:val="center"/>
              <w:rPr>
                <w:rFonts w:ascii="Arial" w:eastAsia="Arial" w:hAnsi="Arial" w:cs="Arial"/>
                <w:kern w:val="0"/>
                <w:sz w:val="16"/>
                <w:szCs w:val="16"/>
                <w:lang w:eastAsia="es-MX"/>
                <w14:ligatures w14:val="none"/>
              </w:rPr>
            </w:pPr>
            <w:r w:rsidRPr="00590E99">
              <w:rPr>
                <w:rFonts w:ascii="Arial" w:eastAsia="Arial" w:hAnsi="Arial" w:cs="Arial"/>
                <w:kern w:val="0"/>
                <w:sz w:val="16"/>
                <w:szCs w:val="16"/>
                <w:lang w:eastAsia="es-MX"/>
                <w14:ligatures w14:val="none"/>
              </w:rPr>
              <w:t>[[</w:t>
            </w:r>
            <w:r w:rsidRPr="00590E99">
              <w:rPr>
                <w:rFonts w:ascii="Arial" w:eastAsia="Arial" w:hAnsi="Arial" w:cs="Arial"/>
                <w:kern w:val="0"/>
                <w:sz w:val="16"/>
                <w:szCs w:val="16"/>
                <w:highlight w:val="yellow"/>
                <w:lang w:eastAsia="es-MX"/>
                <w14:ligatures w14:val="none"/>
              </w:rPr>
              <w:t>*</w:t>
            </w:r>
            <w:r w:rsidRPr="00590E99">
              <w:rPr>
                <w:rFonts w:ascii="Arial" w:eastAsia="Arial" w:hAnsi="Arial" w:cs="Arial"/>
                <w:kern w:val="0"/>
                <w:sz w:val="16"/>
                <w:szCs w:val="16"/>
                <w:lang w:eastAsia="es-MX"/>
                <w14:ligatures w14:val="none"/>
              </w:rPr>
              <w:t>]] %</w:t>
            </w:r>
          </w:p>
        </w:tc>
      </w:tr>
      <w:tr w:rsidR="00DA57A7" w14:paraId="07C627E3" w14:textId="77777777" w:rsidTr="00D5613F">
        <w:trPr>
          <w:trHeight w:val="285"/>
        </w:trPr>
        <w:tc>
          <w:tcPr>
            <w:tcW w:w="990" w:type="dxa"/>
            <w:tcBorders>
              <w:top w:val="nil"/>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14:paraId="49DA12BA" w14:textId="77777777" w:rsidR="00590E99" w:rsidRPr="00590E99" w:rsidRDefault="00000000" w:rsidP="00590E99">
            <w:pPr>
              <w:spacing w:after="0" w:line="276" w:lineRule="auto"/>
              <w:jc w:val="center"/>
              <w:rPr>
                <w:rFonts w:ascii="Arial" w:eastAsia="Arial" w:hAnsi="Arial" w:cs="Arial"/>
                <w:kern w:val="0"/>
                <w:sz w:val="16"/>
                <w:szCs w:val="16"/>
                <w:lang w:eastAsia="es-MX"/>
                <w14:ligatures w14:val="none"/>
              </w:rPr>
            </w:pPr>
            <w:r w:rsidRPr="00590E99">
              <w:rPr>
                <w:rFonts w:ascii="Arial" w:eastAsia="Arial" w:hAnsi="Arial" w:cs="Arial"/>
                <w:kern w:val="0"/>
                <w:sz w:val="16"/>
                <w:szCs w:val="16"/>
                <w:lang w:eastAsia="es-MX"/>
                <w14:ligatures w14:val="none"/>
              </w:rPr>
              <w:t>mxB-</w:t>
            </w:r>
          </w:p>
        </w:tc>
        <w:tc>
          <w:tcPr>
            <w:tcW w:w="1095"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4E0D3399" w14:textId="77777777" w:rsidR="00590E99" w:rsidRPr="00590E99" w:rsidRDefault="00000000" w:rsidP="00590E99">
            <w:pPr>
              <w:spacing w:after="0" w:line="276" w:lineRule="auto"/>
              <w:jc w:val="center"/>
              <w:rPr>
                <w:rFonts w:ascii="Arial" w:eastAsia="Arial" w:hAnsi="Arial" w:cs="Arial"/>
                <w:kern w:val="0"/>
                <w:sz w:val="16"/>
                <w:szCs w:val="16"/>
                <w:lang w:eastAsia="es-MX"/>
                <w14:ligatures w14:val="none"/>
              </w:rPr>
            </w:pPr>
            <w:r w:rsidRPr="00590E99">
              <w:rPr>
                <w:rFonts w:ascii="Arial" w:eastAsia="Arial" w:hAnsi="Arial" w:cs="Arial"/>
                <w:kern w:val="0"/>
                <w:sz w:val="16"/>
                <w:szCs w:val="16"/>
                <w:lang w:eastAsia="es-MX"/>
                <w14:ligatures w14:val="none"/>
              </w:rPr>
              <w:t>B3.mx</w:t>
            </w:r>
          </w:p>
        </w:tc>
        <w:tc>
          <w:tcPr>
            <w:tcW w:w="1380"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6B81601A" w14:textId="77777777" w:rsidR="00590E99" w:rsidRPr="00590E99" w:rsidRDefault="00000000" w:rsidP="00590E99">
            <w:pPr>
              <w:spacing w:after="0" w:line="276" w:lineRule="auto"/>
              <w:jc w:val="center"/>
              <w:rPr>
                <w:rFonts w:ascii="Arial" w:eastAsia="Arial" w:hAnsi="Arial" w:cs="Arial"/>
                <w:kern w:val="0"/>
                <w:sz w:val="16"/>
                <w:szCs w:val="16"/>
                <w:lang w:eastAsia="es-MX"/>
                <w14:ligatures w14:val="none"/>
              </w:rPr>
            </w:pPr>
            <w:r w:rsidRPr="00590E99">
              <w:rPr>
                <w:rFonts w:ascii="Arial" w:eastAsia="Arial" w:hAnsi="Arial" w:cs="Arial"/>
                <w:kern w:val="0"/>
                <w:sz w:val="16"/>
                <w:szCs w:val="16"/>
                <w:lang w:eastAsia="es-MX"/>
                <w14:ligatures w14:val="none"/>
              </w:rPr>
              <w:t>B- (mex)</w:t>
            </w:r>
          </w:p>
        </w:tc>
        <w:tc>
          <w:tcPr>
            <w:tcW w:w="1365"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5D50B862" w14:textId="77777777" w:rsidR="00590E99" w:rsidRPr="00590E99" w:rsidRDefault="00000000" w:rsidP="00590E99">
            <w:pPr>
              <w:spacing w:after="0" w:line="276" w:lineRule="auto"/>
              <w:jc w:val="center"/>
              <w:rPr>
                <w:rFonts w:ascii="Arial" w:eastAsia="Arial" w:hAnsi="Arial" w:cs="Arial"/>
                <w:kern w:val="0"/>
                <w:sz w:val="16"/>
                <w:szCs w:val="16"/>
                <w:lang w:eastAsia="es-MX"/>
                <w14:ligatures w14:val="none"/>
              </w:rPr>
            </w:pPr>
            <w:r w:rsidRPr="00590E99">
              <w:rPr>
                <w:rFonts w:ascii="Arial" w:eastAsia="Arial" w:hAnsi="Arial" w:cs="Arial"/>
                <w:kern w:val="0"/>
                <w:sz w:val="16"/>
                <w:szCs w:val="16"/>
                <w:lang w:eastAsia="es-MX"/>
                <w14:ligatures w14:val="none"/>
              </w:rPr>
              <w:t>HR B-</w:t>
            </w:r>
          </w:p>
        </w:tc>
        <w:tc>
          <w:tcPr>
            <w:tcW w:w="2090"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7CBE7A04" w14:textId="77777777" w:rsidR="00590E99" w:rsidRPr="00590E99" w:rsidRDefault="00000000" w:rsidP="00590E99">
            <w:pPr>
              <w:spacing w:after="0" w:line="276" w:lineRule="auto"/>
              <w:jc w:val="center"/>
              <w:rPr>
                <w:rFonts w:ascii="Arial" w:eastAsia="Arial" w:hAnsi="Arial" w:cs="Arial"/>
                <w:kern w:val="0"/>
                <w:sz w:val="16"/>
                <w:szCs w:val="16"/>
                <w:lang w:eastAsia="es-MX"/>
                <w14:ligatures w14:val="none"/>
              </w:rPr>
            </w:pPr>
            <w:r w:rsidRPr="00590E99">
              <w:rPr>
                <w:rFonts w:ascii="Arial" w:eastAsia="Arial" w:hAnsi="Arial" w:cs="Arial"/>
                <w:kern w:val="0"/>
                <w:sz w:val="16"/>
                <w:szCs w:val="16"/>
                <w:lang w:eastAsia="es-MX"/>
                <w14:ligatures w14:val="none"/>
              </w:rPr>
              <w:t>B-/M</w:t>
            </w:r>
          </w:p>
        </w:tc>
        <w:tc>
          <w:tcPr>
            <w:tcW w:w="1620"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325BD34E" w14:textId="77777777" w:rsidR="00590E99" w:rsidRPr="00590E99" w:rsidRDefault="00000000" w:rsidP="00590E99">
            <w:pPr>
              <w:spacing w:after="0" w:line="276" w:lineRule="auto"/>
              <w:jc w:val="center"/>
              <w:rPr>
                <w:rFonts w:ascii="Arial" w:eastAsia="Arial" w:hAnsi="Arial" w:cs="Arial"/>
                <w:kern w:val="0"/>
                <w:sz w:val="16"/>
                <w:szCs w:val="16"/>
                <w:lang w:eastAsia="es-MX"/>
                <w14:ligatures w14:val="none"/>
              </w:rPr>
            </w:pPr>
            <w:r w:rsidRPr="00590E99">
              <w:rPr>
                <w:rFonts w:ascii="Arial" w:eastAsia="Arial" w:hAnsi="Arial" w:cs="Arial"/>
                <w:kern w:val="0"/>
                <w:sz w:val="16"/>
                <w:szCs w:val="16"/>
                <w:lang w:eastAsia="es-MX"/>
                <w14:ligatures w14:val="none"/>
              </w:rPr>
              <w:t>[[</w:t>
            </w:r>
            <w:r w:rsidRPr="00590E99">
              <w:rPr>
                <w:rFonts w:ascii="Arial" w:eastAsia="Arial" w:hAnsi="Arial" w:cs="Arial"/>
                <w:kern w:val="0"/>
                <w:sz w:val="16"/>
                <w:szCs w:val="16"/>
                <w:highlight w:val="yellow"/>
                <w:lang w:eastAsia="es-MX"/>
                <w14:ligatures w14:val="none"/>
              </w:rPr>
              <w:t>*</w:t>
            </w:r>
            <w:r w:rsidRPr="00590E99">
              <w:rPr>
                <w:rFonts w:ascii="Arial" w:eastAsia="Arial" w:hAnsi="Arial" w:cs="Arial"/>
                <w:kern w:val="0"/>
                <w:sz w:val="16"/>
                <w:szCs w:val="16"/>
                <w:lang w:eastAsia="es-MX"/>
                <w14:ligatures w14:val="none"/>
              </w:rPr>
              <w:t>]] %</w:t>
            </w:r>
          </w:p>
        </w:tc>
      </w:tr>
      <w:tr w:rsidR="00DA57A7" w14:paraId="164D1660" w14:textId="77777777" w:rsidTr="00D5613F">
        <w:trPr>
          <w:trHeight w:val="285"/>
        </w:trPr>
        <w:tc>
          <w:tcPr>
            <w:tcW w:w="990" w:type="dxa"/>
            <w:tcBorders>
              <w:top w:val="nil"/>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14:paraId="57F4ED0E" w14:textId="77777777" w:rsidR="00590E99" w:rsidRPr="00590E99" w:rsidRDefault="00000000" w:rsidP="00590E99">
            <w:pPr>
              <w:spacing w:after="0" w:line="276" w:lineRule="auto"/>
              <w:jc w:val="center"/>
              <w:rPr>
                <w:rFonts w:ascii="Arial" w:eastAsia="Arial" w:hAnsi="Arial" w:cs="Arial"/>
                <w:kern w:val="0"/>
                <w:sz w:val="16"/>
                <w:szCs w:val="16"/>
                <w:lang w:eastAsia="es-MX"/>
                <w14:ligatures w14:val="none"/>
              </w:rPr>
            </w:pPr>
            <w:r w:rsidRPr="00590E99">
              <w:rPr>
                <w:rFonts w:ascii="Arial" w:eastAsia="Arial" w:hAnsi="Arial" w:cs="Arial"/>
                <w:kern w:val="0"/>
                <w:sz w:val="16"/>
                <w:szCs w:val="16"/>
                <w:lang w:eastAsia="es-MX"/>
                <w14:ligatures w14:val="none"/>
              </w:rPr>
              <w:t>mxCCC</w:t>
            </w:r>
          </w:p>
        </w:tc>
        <w:tc>
          <w:tcPr>
            <w:tcW w:w="1095"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6A3717C3" w14:textId="77777777" w:rsidR="00590E99" w:rsidRPr="00590E99" w:rsidRDefault="00000000" w:rsidP="00590E99">
            <w:pPr>
              <w:spacing w:after="0" w:line="276" w:lineRule="auto"/>
              <w:jc w:val="center"/>
              <w:rPr>
                <w:rFonts w:ascii="Arial" w:eastAsia="Arial" w:hAnsi="Arial" w:cs="Arial"/>
                <w:kern w:val="0"/>
                <w:sz w:val="16"/>
                <w:szCs w:val="16"/>
                <w:lang w:eastAsia="es-MX"/>
                <w14:ligatures w14:val="none"/>
              </w:rPr>
            </w:pPr>
            <w:r w:rsidRPr="00590E99">
              <w:rPr>
                <w:rFonts w:ascii="Arial" w:eastAsia="Arial" w:hAnsi="Arial" w:cs="Arial"/>
                <w:kern w:val="0"/>
                <w:sz w:val="16"/>
                <w:szCs w:val="16"/>
                <w:lang w:eastAsia="es-MX"/>
                <w14:ligatures w14:val="none"/>
              </w:rPr>
              <w:t>Caa.mx</w:t>
            </w:r>
          </w:p>
        </w:tc>
        <w:tc>
          <w:tcPr>
            <w:tcW w:w="1380"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5E978056" w14:textId="77777777" w:rsidR="00590E99" w:rsidRPr="00590E99" w:rsidRDefault="00000000" w:rsidP="00590E99">
            <w:pPr>
              <w:spacing w:after="0" w:line="276" w:lineRule="auto"/>
              <w:jc w:val="center"/>
              <w:rPr>
                <w:rFonts w:ascii="Arial" w:eastAsia="Arial" w:hAnsi="Arial" w:cs="Arial"/>
                <w:kern w:val="0"/>
                <w:sz w:val="16"/>
                <w:szCs w:val="16"/>
                <w:lang w:eastAsia="es-MX"/>
                <w14:ligatures w14:val="none"/>
              </w:rPr>
            </w:pPr>
            <w:r w:rsidRPr="00590E99">
              <w:rPr>
                <w:rFonts w:ascii="Arial" w:eastAsia="Arial" w:hAnsi="Arial" w:cs="Arial"/>
                <w:kern w:val="0"/>
                <w:sz w:val="16"/>
                <w:szCs w:val="16"/>
                <w:lang w:eastAsia="es-MX"/>
                <w14:ligatures w14:val="none"/>
              </w:rPr>
              <w:t>CCC(mex)</w:t>
            </w:r>
          </w:p>
        </w:tc>
        <w:tc>
          <w:tcPr>
            <w:tcW w:w="1365"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75233DAD" w14:textId="77777777" w:rsidR="00590E99" w:rsidRPr="00590E99" w:rsidRDefault="00000000" w:rsidP="00590E99">
            <w:pPr>
              <w:spacing w:after="0" w:line="276" w:lineRule="auto"/>
              <w:jc w:val="center"/>
              <w:rPr>
                <w:rFonts w:ascii="Arial" w:eastAsia="Arial" w:hAnsi="Arial" w:cs="Arial"/>
                <w:kern w:val="0"/>
                <w:sz w:val="16"/>
                <w:szCs w:val="16"/>
                <w:lang w:eastAsia="es-MX"/>
                <w14:ligatures w14:val="none"/>
              </w:rPr>
            </w:pPr>
            <w:r w:rsidRPr="00590E99">
              <w:rPr>
                <w:rFonts w:ascii="Arial" w:eastAsia="Arial" w:hAnsi="Arial" w:cs="Arial"/>
                <w:kern w:val="0"/>
                <w:sz w:val="16"/>
                <w:szCs w:val="16"/>
                <w:lang w:eastAsia="es-MX"/>
                <w14:ligatures w14:val="none"/>
              </w:rPr>
              <w:t>HR C+</w:t>
            </w:r>
          </w:p>
        </w:tc>
        <w:tc>
          <w:tcPr>
            <w:tcW w:w="2090"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64021F44" w14:textId="77777777" w:rsidR="00590E99" w:rsidRPr="00590E99" w:rsidRDefault="00000000" w:rsidP="00590E99">
            <w:pPr>
              <w:spacing w:after="0" w:line="276" w:lineRule="auto"/>
              <w:jc w:val="center"/>
              <w:rPr>
                <w:rFonts w:ascii="Arial" w:eastAsia="Arial" w:hAnsi="Arial" w:cs="Arial"/>
                <w:kern w:val="0"/>
                <w:sz w:val="16"/>
                <w:szCs w:val="16"/>
                <w:lang w:eastAsia="es-MX"/>
                <w14:ligatures w14:val="none"/>
              </w:rPr>
            </w:pPr>
            <w:r w:rsidRPr="00590E99">
              <w:rPr>
                <w:rFonts w:ascii="Arial" w:eastAsia="Arial" w:hAnsi="Arial" w:cs="Arial"/>
                <w:kern w:val="0"/>
                <w:sz w:val="16"/>
                <w:szCs w:val="16"/>
                <w:lang w:eastAsia="es-MX"/>
                <w14:ligatures w14:val="none"/>
              </w:rPr>
              <w:t>--</w:t>
            </w:r>
          </w:p>
        </w:tc>
        <w:tc>
          <w:tcPr>
            <w:tcW w:w="1620"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407652A3" w14:textId="77777777" w:rsidR="00590E99" w:rsidRPr="00590E99" w:rsidRDefault="00000000" w:rsidP="00590E99">
            <w:pPr>
              <w:spacing w:after="0" w:line="276" w:lineRule="auto"/>
              <w:jc w:val="center"/>
              <w:rPr>
                <w:rFonts w:ascii="Arial" w:eastAsia="Arial" w:hAnsi="Arial" w:cs="Arial"/>
                <w:kern w:val="0"/>
                <w:sz w:val="16"/>
                <w:szCs w:val="16"/>
                <w:lang w:eastAsia="es-MX"/>
                <w14:ligatures w14:val="none"/>
              </w:rPr>
            </w:pPr>
            <w:r w:rsidRPr="00590E99">
              <w:rPr>
                <w:rFonts w:ascii="Arial" w:eastAsia="Arial" w:hAnsi="Arial" w:cs="Arial"/>
                <w:kern w:val="0"/>
                <w:sz w:val="16"/>
                <w:szCs w:val="16"/>
                <w:lang w:eastAsia="es-MX"/>
                <w14:ligatures w14:val="none"/>
              </w:rPr>
              <w:t>[[</w:t>
            </w:r>
            <w:r w:rsidRPr="00590E99">
              <w:rPr>
                <w:rFonts w:ascii="Arial" w:eastAsia="Arial" w:hAnsi="Arial" w:cs="Arial"/>
                <w:kern w:val="0"/>
                <w:sz w:val="16"/>
                <w:szCs w:val="16"/>
                <w:highlight w:val="yellow"/>
                <w:lang w:eastAsia="es-MX"/>
                <w14:ligatures w14:val="none"/>
              </w:rPr>
              <w:t>*</w:t>
            </w:r>
            <w:r w:rsidRPr="00590E99">
              <w:rPr>
                <w:rFonts w:ascii="Arial" w:eastAsia="Arial" w:hAnsi="Arial" w:cs="Arial"/>
                <w:kern w:val="0"/>
                <w:sz w:val="16"/>
                <w:szCs w:val="16"/>
                <w:lang w:eastAsia="es-MX"/>
                <w14:ligatures w14:val="none"/>
              </w:rPr>
              <w:t>]] %</w:t>
            </w:r>
          </w:p>
        </w:tc>
      </w:tr>
      <w:tr w:rsidR="00DA57A7" w14:paraId="0CDEDB19" w14:textId="77777777" w:rsidTr="00D5613F">
        <w:trPr>
          <w:trHeight w:val="285"/>
        </w:trPr>
        <w:tc>
          <w:tcPr>
            <w:tcW w:w="990" w:type="dxa"/>
            <w:tcBorders>
              <w:top w:val="nil"/>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14:paraId="26602E94" w14:textId="77777777" w:rsidR="00590E99" w:rsidRPr="00590E99" w:rsidRDefault="00000000" w:rsidP="00590E99">
            <w:pPr>
              <w:spacing w:after="0" w:line="276" w:lineRule="auto"/>
              <w:jc w:val="center"/>
              <w:rPr>
                <w:rFonts w:ascii="Arial" w:eastAsia="Arial" w:hAnsi="Arial" w:cs="Arial"/>
                <w:kern w:val="0"/>
                <w:sz w:val="16"/>
                <w:szCs w:val="16"/>
                <w:lang w:eastAsia="es-MX"/>
                <w14:ligatures w14:val="none"/>
              </w:rPr>
            </w:pPr>
            <w:r w:rsidRPr="00590E99">
              <w:rPr>
                <w:rFonts w:ascii="Arial" w:eastAsia="Arial" w:hAnsi="Arial" w:cs="Arial"/>
                <w:kern w:val="0"/>
                <w:sz w:val="16"/>
                <w:szCs w:val="16"/>
                <w:lang w:eastAsia="es-MX"/>
                <w14:ligatures w14:val="none"/>
              </w:rPr>
              <w:t>mxCC</w:t>
            </w:r>
          </w:p>
        </w:tc>
        <w:tc>
          <w:tcPr>
            <w:tcW w:w="1095"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52E7A51A" w14:textId="77777777" w:rsidR="00590E99" w:rsidRPr="00590E99" w:rsidRDefault="00000000" w:rsidP="00590E99">
            <w:pPr>
              <w:spacing w:after="0" w:line="276" w:lineRule="auto"/>
              <w:jc w:val="center"/>
              <w:rPr>
                <w:rFonts w:ascii="Arial" w:eastAsia="Arial" w:hAnsi="Arial" w:cs="Arial"/>
                <w:kern w:val="0"/>
                <w:sz w:val="16"/>
                <w:szCs w:val="16"/>
                <w:lang w:eastAsia="es-MX"/>
                <w14:ligatures w14:val="none"/>
              </w:rPr>
            </w:pPr>
            <w:r w:rsidRPr="00590E99">
              <w:rPr>
                <w:rFonts w:ascii="Arial" w:eastAsia="Arial" w:hAnsi="Arial" w:cs="Arial"/>
                <w:kern w:val="0"/>
                <w:sz w:val="16"/>
                <w:szCs w:val="16"/>
                <w:lang w:eastAsia="es-MX"/>
                <w14:ligatures w14:val="none"/>
              </w:rPr>
              <w:t>Ca.mx</w:t>
            </w:r>
          </w:p>
        </w:tc>
        <w:tc>
          <w:tcPr>
            <w:tcW w:w="1380"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1BB5BF46" w14:textId="77777777" w:rsidR="00590E99" w:rsidRPr="00590E99" w:rsidRDefault="00000000" w:rsidP="00590E99">
            <w:pPr>
              <w:spacing w:after="0" w:line="276" w:lineRule="auto"/>
              <w:jc w:val="center"/>
              <w:rPr>
                <w:rFonts w:ascii="Arial" w:eastAsia="Arial" w:hAnsi="Arial" w:cs="Arial"/>
                <w:kern w:val="0"/>
                <w:sz w:val="16"/>
                <w:szCs w:val="16"/>
                <w:lang w:eastAsia="es-MX"/>
                <w14:ligatures w14:val="none"/>
              </w:rPr>
            </w:pPr>
            <w:r w:rsidRPr="00590E99">
              <w:rPr>
                <w:rFonts w:ascii="Arial" w:eastAsia="Arial" w:hAnsi="Arial" w:cs="Arial"/>
                <w:kern w:val="0"/>
                <w:sz w:val="16"/>
                <w:szCs w:val="16"/>
                <w:lang w:eastAsia="es-MX"/>
                <w14:ligatures w14:val="none"/>
              </w:rPr>
              <w:t>CC(mex)</w:t>
            </w:r>
          </w:p>
        </w:tc>
        <w:tc>
          <w:tcPr>
            <w:tcW w:w="1365"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26779854" w14:textId="77777777" w:rsidR="00590E99" w:rsidRPr="00590E99" w:rsidRDefault="00000000" w:rsidP="00590E99">
            <w:pPr>
              <w:spacing w:after="0" w:line="276" w:lineRule="auto"/>
              <w:jc w:val="center"/>
              <w:rPr>
                <w:rFonts w:ascii="Arial" w:eastAsia="Arial" w:hAnsi="Arial" w:cs="Arial"/>
                <w:kern w:val="0"/>
                <w:sz w:val="16"/>
                <w:szCs w:val="16"/>
                <w:lang w:eastAsia="es-MX"/>
                <w14:ligatures w14:val="none"/>
              </w:rPr>
            </w:pPr>
            <w:r w:rsidRPr="00590E99">
              <w:rPr>
                <w:rFonts w:ascii="Arial" w:eastAsia="Arial" w:hAnsi="Arial" w:cs="Arial"/>
                <w:kern w:val="0"/>
                <w:sz w:val="16"/>
                <w:szCs w:val="16"/>
                <w:lang w:eastAsia="es-MX"/>
                <w14:ligatures w14:val="none"/>
              </w:rPr>
              <w:t>HR C</w:t>
            </w:r>
          </w:p>
        </w:tc>
        <w:tc>
          <w:tcPr>
            <w:tcW w:w="2090"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551B9552" w14:textId="77777777" w:rsidR="00590E99" w:rsidRPr="00590E99" w:rsidRDefault="00000000" w:rsidP="00590E99">
            <w:pPr>
              <w:spacing w:after="0" w:line="276" w:lineRule="auto"/>
              <w:jc w:val="center"/>
              <w:rPr>
                <w:rFonts w:ascii="Arial" w:eastAsia="Arial" w:hAnsi="Arial" w:cs="Arial"/>
                <w:kern w:val="0"/>
                <w:sz w:val="16"/>
                <w:szCs w:val="16"/>
                <w:lang w:eastAsia="es-MX"/>
                <w14:ligatures w14:val="none"/>
              </w:rPr>
            </w:pPr>
            <w:r w:rsidRPr="00590E99">
              <w:rPr>
                <w:rFonts w:ascii="Arial" w:eastAsia="Arial" w:hAnsi="Arial" w:cs="Arial"/>
                <w:kern w:val="0"/>
                <w:sz w:val="16"/>
                <w:szCs w:val="16"/>
                <w:lang w:eastAsia="es-MX"/>
                <w14:ligatures w14:val="none"/>
              </w:rPr>
              <w:t>--</w:t>
            </w:r>
          </w:p>
        </w:tc>
        <w:tc>
          <w:tcPr>
            <w:tcW w:w="1620"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1E3C5D95" w14:textId="77777777" w:rsidR="00590E99" w:rsidRPr="00590E99" w:rsidRDefault="00000000" w:rsidP="00590E99">
            <w:pPr>
              <w:spacing w:after="0" w:line="276" w:lineRule="auto"/>
              <w:jc w:val="center"/>
              <w:rPr>
                <w:rFonts w:ascii="Arial" w:eastAsia="Arial" w:hAnsi="Arial" w:cs="Arial"/>
                <w:kern w:val="0"/>
                <w:sz w:val="16"/>
                <w:szCs w:val="16"/>
                <w:lang w:eastAsia="es-MX"/>
                <w14:ligatures w14:val="none"/>
              </w:rPr>
            </w:pPr>
            <w:r w:rsidRPr="00590E99">
              <w:rPr>
                <w:rFonts w:ascii="Arial" w:eastAsia="Arial" w:hAnsi="Arial" w:cs="Arial"/>
                <w:kern w:val="0"/>
                <w:sz w:val="16"/>
                <w:szCs w:val="16"/>
                <w:lang w:eastAsia="es-MX"/>
                <w14:ligatures w14:val="none"/>
              </w:rPr>
              <w:t>[[</w:t>
            </w:r>
            <w:r w:rsidRPr="00590E99">
              <w:rPr>
                <w:rFonts w:ascii="Arial" w:eastAsia="Arial" w:hAnsi="Arial" w:cs="Arial"/>
                <w:kern w:val="0"/>
                <w:sz w:val="16"/>
                <w:szCs w:val="16"/>
                <w:highlight w:val="yellow"/>
                <w:lang w:eastAsia="es-MX"/>
                <w14:ligatures w14:val="none"/>
              </w:rPr>
              <w:t>*</w:t>
            </w:r>
            <w:r w:rsidRPr="00590E99">
              <w:rPr>
                <w:rFonts w:ascii="Arial" w:eastAsia="Arial" w:hAnsi="Arial" w:cs="Arial"/>
                <w:kern w:val="0"/>
                <w:sz w:val="16"/>
                <w:szCs w:val="16"/>
                <w:lang w:eastAsia="es-MX"/>
                <w14:ligatures w14:val="none"/>
              </w:rPr>
              <w:t>]] %</w:t>
            </w:r>
          </w:p>
        </w:tc>
      </w:tr>
      <w:tr w:rsidR="00DA57A7" w14:paraId="57A9B05B" w14:textId="77777777" w:rsidTr="00D5613F">
        <w:trPr>
          <w:trHeight w:val="285"/>
        </w:trPr>
        <w:tc>
          <w:tcPr>
            <w:tcW w:w="990" w:type="dxa"/>
            <w:tcBorders>
              <w:top w:val="nil"/>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14:paraId="5C8809E0" w14:textId="77777777" w:rsidR="00590E99" w:rsidRPr="00590E99" w:rsidRDefault="00000000" w:rsidP="00590E99">
            <w:pPr>
              <w:spacing w:after="0" w:line="276" w:lineRule="auto"/>
              <w:jc w:val="center"/>
              <w:rPr>
                <w:rFonts w:ascii="Arial" w:eastAsia="Arial" w:hAnsi="Arial" w:cs="Arial"/>
                <w:kern w:val="0"/>
                <w:sz w:val="16"/>
                <w:szCs w:val="16"/>
                <w:lang w:eastAsia="es-MX"/>
                <w14:ligatures w14:val="none"/>
              </w:rPr>
            </w:pPr>
            <w:r w:rsidRPr="00590E99">
              <w:rPr>
                <w:rFonts w:ascii="Arial" w:eastAsia="Arial" w:hAnsi="Arial" w:cs="Arial"/>
                <w:kern w:val="0"/>
                <w:sz w:val="16"/>
                <w:szCs w:val="16"/>
                <w:lang w:eastAsia="es-MX"/>
                <w14:ligatures w14:val="none"/>
              </w:rPr>
              <w:t>mxC</w:t>
            </w:r>
          </w:p>
        </w:tc>
        <w:tc>
          <w:tcPr>
            <w:tcW w:w="1095"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69EFAE43" w14:textId="77777777" w:rsidR="00590E99" w:rsidRPr="00590E99" w:rsidRDefault="00000000" w:rsidP="00590E99">
            <w:pPr>
              <w:spacing w:after="0" w:line="276" w:lineRule="auto"/>
              <w:jc w:val="center"/>
              <w:rPr>
                <w:rFonts w:ascii="Arial" w:eastAsia="Arial" w:hAnsi="Arial" w:cs="Arial"/>
                <w:kern w:val="0"/>
                <w:sz w:val="16"/>
                <w:szCs w:val="16"/>
                <w:lang w:eastAsia="es-MX"/>
                <w14:ligatures w14:val="none"/>
              </w:rPr>
            </w:pPr>
            <w:r w:rsidRPr="00590E99">
              <w:rPr>
                <w:rFonts w:ascii="Arial" w:eastAsia="Arial" w:hAnsi="Arial" w:cs="Arial"/>
                <w:kern w:val="0"/>
                <w:sz w:val="16"/>
                <w:szCs w:val="16"/>
                <w:lang w:eastAsia="es-MX"/>
                <w14:ligatures w14:val="none"/>
              </w:rPr>
              <w:t>C.mx</w:t>
            </w:r>
          </w:p>
        </w:tc>
        <w:tc>
          <w:tcPr>
            <w:tcW w:w="1380"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2AFD4304" w14:textId="77777777" w:rsidR="00590E99" w:rsidRPr="00590E99" w:rsidRDefault="00000000" w:rsidP="00590E99">
            <w:pPr>
              <w:spacing w:after="0" w:line="276" w:lineRule="auto"/>
              <w:jc w:val="center"/>
              <w:rPr>
                <w:rFonts w:ascii="Arial" w:eastAsia="Arial" w:hAnsi="Arial" w:cs="Arial"/>
                <w:kern w:val="0"/>
                <w:sz w:val="16"/>
                <w:szCs w:val="16"/>
                <w:lang w:eastAsia="es-MX"/>
                <w14:ligatures w14:val="none"/>
              </w:rPr>
            </w:pPr>
            <w:r w:rsidRPr="00590E99">
              <w:rPr>
                <w:rFonts w:ascii="Arial" w:eastAsia="Arial" w:hAnsi="Arial" w:cs="Arial"/>
                <w:kern w:val="0"/>
                <w:sz w:val="16"/>
                <w:szCs w:val="16"/>
                <w:lang w:eastAsia="es-MX"/>
                <w14:ligatures w14:val="none"/>
              </w:rPr>
              <w:t>C(mex)</w:t>
            </w:r>
          </w:p>
        </w:tc>
        <w:tc>
          <w:tcPr>
            <w:tcW w:w="1365"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5100C1E6" w14:textId="77777777" w:rsidR="00590E99" w:rsidRPr="00590E99" w:rsidRDefault="00000000" w:rsidP="00590E99">
            <w:pPr>
              <w:spacing w:after="0" w:line="276" w:lineRule="auto"/>
              <w:jc w:val="center"/>
              <w:rPr>
                <w:rFonts w:ascii="Arial" w:eastAsia="Arial" w:hAnsi="Arial" w:cs="Arial"/>
                <w:kern w:val="0"/>
                <w:sz w:val="16"/>
                <w:szCs w:val="16"/>
                <w:lang w:eastAsia="es-MX"/>
                <w14:ligatures w14:val="none"/>
              </w:rPr>
            </w:pPr>
            <w:r w:rsidRPr="00590E99">
              <w:rPr>
                <w:rFonts w:ascii="Arial" w:eastAsia="Arial" w:hAnsi="Arial" w:cs="Arial"/>
                <w:kern w:val="0"/>
                <w:sz w:val="16"/>
                <w:szCs w:val="16"/>
                <w:lang w:eastAsia="es-MX"/>
                <w14:ligatures w14:val="none"/>
              </w:rPr>
              <w:t>HR C-</w:t>
            </w:r>
          </w:p>
        </w:tc>
        <w:tc>
          <w:tcPr>
            <w:tcW w:w="2090"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251B7F68" w14:textId="77777777" w:rsidR="00590E99" w:rsidRPr="00590E99" w:rsidRDefault="00000000" w:rsidP="00590E99">
            <w:pPr>
              <w:spacing w:after="0" w:line="276" w:lineRule="auto"/>
              <w:jc w:val="center"/>
              <w:rPr>
                <w:rFonts w:ascii="Arial" w:eastAsia="Arial" w:hAnsi="Arial" w:cs="Arial"/>
                <w:kern w:val="0"/>
                <w:sz w:val="16"/>
                <w:szCs w:val="16"/>
                <w:lang w:eastAsia="es-MX"/>
                <w14:ligatures w14:val="none"/>
              </w:rPr>
            </w:pPr>
            <w:r w:rsidRPr="00590E99">
              <w:rPr>
                <w:rFonts w:ascii="Arial" w:eastAsia="Arial" w:hAnsi="Arial" w:cs="Arial"/>
                <w:kern w:val="0"/>
                <w:sz w:val="16"/>
                <w:szCs w:val="16"/>
                <w:lang w:eastAsia="es-MX"/>
                <w14:ligatures w14:val="none"/>
              </w:rPr>
              <w:t>C/M</w:t>
            </w:r>
          </w:p>
        </w:tc>
        <w:tc>
          <w:tcPr>
            <w:tcW w:w="1620"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2AF36D02" w14:textId="77777777" w:rsidR="00590E99" w:rsidRPr="00590E99" w:rsidRDefault="00000000" w:rsidP="00590E99">
            <w:pPr>
              <w:spacing w:after="0" w:line="276" w:lineRule="auto"/>
              <w:jc w:val="center"/>
              <w:rPr>
                <w:rFonts w:ascii="Arial" w:eastAsia="Arial" w:hAnsi="Arial" w:cs="Arial"/>
                <w:kern w:val="0"/>
                <w:sz w:val="16"/>
                <w:szCs w:val="16"/>
                <w:lang w:eastAsia="es-MX"/>
                <w14:ligatures w14:val="none"/>
              </w:rPr>
            </w:pPr>
            <w:r w:rsidRPr="00590E99">
              <w:rPr>
                <w:rFonts w:ascii="Arial" w:eastAsia="Arial" w:hAnsi="Arial" w:cs="Arial"/>
                <w:kern w:val="0"/>
                <w:sz w:val="16"/>
                <w:szCs w:val="16"/>
                <w:lang w:eastAsia="es-MX"/>
                <w14:ligatures w14:val="none"/>
              </w:rPr>
              <w:t>[[</w:t>
            </w:r>
            <w:r w:rsidRPr="00590E99">
              <w:rPr>
                <w:rFonts w:ascii="Arial" w:eastAsia="Arial" w:hAnsi="Arial" w:cs="Arial"/>
                <w:kern w:val="0"/>
                <w:sz w:val="16"/>
                <w:szCs w:val="16"/>
                <w:highlight w:val="yellow"/>
                <w:lang w:eastAsia="es-MX"/>
                <w14:ligatures w14:val="none"/>
              </w:rPr>
              <w:t>*</w:t>
            </w:r>
            <w:r w:rsidRPr="00590E99">
              <w:rPr>
                <w:rFonts w:ascii="Arial" w:eastAsia="Arial" w:hAnsi="Arial" w:cs="Arial"/>
                <w:kern w:val="0"/>
                <w:sz w:val="16"/>
                <w:szCs w:val="16"/>
                <w:lang w:eastAsia="es-MX"/>
                <w14:ligatures w14:val="none"/>
              </w:rPr>
              <w:t>]] %</w:t>
            </w:r>
          </w:p>
        </w:tc>
      </w:tr>
      <w:tr w:rsidR="00DA57A7" w14:paraId="690C83E9" w14:textId="77777777" w:rsidTr="00D5613F">
        <w:trPr>
          <w:trHeight w:val="285"/>
        </w:trPr>
        <w:tc>
          <w:tcPr>
            <w:tcW w:w="990" w:type="dxa"/>
            <w:tcBorders>
              <w:top w:val="nil"/>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14:paraId="23DF699A" w14:textId="77777777" w:rsidR="00590E99" w:rsidRPr="00590E99" w:rsidRDefault="00000000" w:rsidP="00590E99">
            <w:pPr>
              <w:spacing w:after="0" w:line="276" w:lineRule="auto"/>
              <w:jc w:val="center"/>
              <w:rPr>
                <w:rFonts w:ascii="Arial" w:eastAsia="Arial" w:hAnsi="Arial" w:cs="Arial"/>
                <w:kern w:val="0"/>
                <w:sz w:val="16"/>
                <w:szCs w:val="16"/>
                <w:lang w:eastAsia="es-MX"/>
                <w14:ligatures w14:val="none"/>
              </w:rPr>
            </w:pPr>
            <w:r w:rsidRPr="00590E99">
              <w:rPr>
                <w:rFonts w:ascii="Arial" w:eastAsia="Arial" w:hAnsi="Arial" w:cs="Arial"/>
                <w:kern w:val="0"/>
                <w:sz w:val="16"/>
                <w:szCs w:val="16"/>
                <w:lang w:eastAsia="es-MX"/>
                <w14:ligatures w14:val="none"/>
              </w:rPr>
              <w:t>mxD</w:t>
            </w:r>
          </w:p>
        </w:tc>
        <w:tc>
          <w:tcPr>
            <w:tcW w:w="1095"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4CE30AEB" w14:textId="77777777" w:rsidR="00590E99" w:rsidRPr="00590E99" w:rsidRDefault="00000000" w:rsidP="00590E99">
            <w:pPr>
              <w:spacing w:after="0" w:line="276" w:lineRule="auto"/>
              <w:jc w:val="center"/>
              <w:rPr>
                <w:rFonts w:ascii="Arial" w:eastAsia="Arial" w:hAnsi="Arial" w:cs="Arial"/>
                <w:kern w:val="0"/>
                <w:sz w:val="16"/>
                <w:szCs w:val="16"/>
                <w:lang w:eastAsia="es-MX"/>
                <w14:ligatures w14:val="none"/>
              </w:rPr>
            </w:pPr>
            <w:r w:rsidRPr="00590E99">
              <w:rPr>
                <w:rFonts w:ascii="Arial" w:eastAsia="Arial" w:hAnsi="Arial" w:cs="Arial"/>
                <w:kern w:val="0"/>
                <w:sz w:val="16"/>
                <w:szCs w:val="16"/>
                <w:lang w:eastAsia="es-MX"/>
                <w14:ligatures w14:val="none"/>
              </w:rPr>
              <w:t xml:space="preserve"> </w:t>
            </w:r>
          </w:p>
        </w:tc>
        <w:tc>
          <w:tcPr>
            <w:tcW w:w="1380"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3D26A845" w14:textId="77777777" w:rsidR="00590E99" w:rsidRPr="00590E99" w:rsidRDefault="00000000" w:rsidP="00590E99">
            <w:pPr>
              <w:spacing w:after="0" w:line="276" w:lineRule="auto"/>
              <w:jc w:val="center"/>
              <w:rPr>
                <w:rFonts w:ascii="Arial" w:eastAsia="Arial" w:hAnsi="Arial" w:cs="Arial"/>
                <w:kern w:val="0"/>
                <w:sz w:val="16"/>
                <w:szCs w:val="16"/>
                <w:lang w:eastAsia="es-MX"/>
                <w14:ligatures w14:val="none"/>
              </w:rPr>
            </w:pPr>
            <w:r w:rsidRPr="00590E99">
              <w:rPr>
                <w:rFonts w:ascii="Arial" w:eastAsia="Arial" w:hAnsi="Arial" w:cs="Arial"/>
                <w:kern w:val="0"/>
                <w:sz w:val="16"/>
                <w:szCs w:val="16"/>
                <w:lang w:eastAsia="es-MX"/>
                <w14:ligatures w14:val="none"/>
              </w:rPr>
              <w:t>D(mex)</w:t>
            </w:r>
          </w:p>
        </w:tc>
        <w:tc>
          <w:tcPr>
            <w:tcW w:w="1365"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0F12432D" w14:textId="77777777" w:rsidR="00590E99" w:rsidRPr="00590E99" w:rsidRDefault="00000000" w:rsidP="00590E99">
            <w:pPr>
              <w:spacing w:after="0" w:line="276" w:lineRule="auto"/>
              <w:jc w:val="center"/>
              <w:rPr>
                <w:rFonts w:ascii="Arial" w:eastAsia="Arial" w:hAnsi="Arial" w:cs="Arial"/>
                <w:kern w:val="0"/>
                <w:sz w:val="16"/>
                <w:szCs w:val="16"/>
                <w:lang w:eastAsia="es-MX"/>
                <w14:ligatures w14:val="none"/>
              </w:rPr>
            </w:pPr>
            <w:r w:rsidRPr="00590E99">
              <w:rPr>
                <w:rFonts w:ascii="Arial" w:eastAsia="Arial" w:hAnsi="Arial" w:cs="Arial"/>
                <w:kern w:val="0"/>
                <w:sz w:val="16"/>
                <w:szCs w:val="16"/>
                <w:lang w:eastAsia="es-MX"/>
                <w14:ligatures w14:val="none"/>
              </w:rPr>
              <w:t>HR D</w:t>
            </w:r>
          </w:p>
        </w:tc>
        <w:tc>
          <w:tcPr>
            <w:tcW w:w="2090"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4AA7BC3C" w14:textId="77777777" w:rsidR="00590E99" w:rsidRPr="00590E99" w:rsidRDefault="00000000" w:rsidP="00590E99">
            <w:pPr>
              <w:spacing w:after="0" w:line="276" w:lineRule="auto"/>
              <w:jc w:val="center"/>
              <w:rPr>
                <w:rFonts w:ascii="Arial" w:eastAsia="Arial" w:hAnsi="Arial" w:cs="Arial"/>
                <w:kern w:val="0"/>
                <w:sz w:val="16"/>
                <w:szCs w:val="16"/>
                <w:lang w:eastAsia="es-MX"/>
                <w14:ligatures w14:val="none"/>
              </w:rPr>
            </w:pPr>
            <w:r w:rsidRPr="00590E99">
              <w:rPr>
                <w:rFonts w:ascii="Arial" w:eastAsia="Arial" w:hAnsi="Arial" w:cs="Arial"/>
                <w:kern w:val="0"/>
                <w:sz w:val="16"/>
                <w:szCs w:val="16"/>
                <w:lang w:eastAsia="es-MX"/>
                <w14:ligatures w14:val="none"/>
              </w:rPr>
              <w:t>D/M</w:t>
            </w:r>
          </w:p>
        </w:tc>
        <w:tc>
          <w:tcPr>
            <w:tcW w:w="1620"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1FED2E0E" w14:textId="77777777" w:rsidR="00590E99" w:rsidRPr="00590E99" w:rsidRDefault="00000000" w:rsidP="00590E99">
            <w:pPr>
              <w:spacing w:after="0" w:line="276" w:lineRule="auto"/>
              <w:jc w:val="center"/>
              <w:rPr>
                <w:rFonts w:ascii="Arial" w:eastAsia="Arial" w:hAnsi="Arial" w:cs="Arial"/>
                <w:kern w:val="0"/>
                <w:sz w:val="16"/>
                <w:szCs w:val="16"/>
                <w:lang w:eastAsia="es-MX"/>
                <w14:ligatures w14:val="none"/>
              </w:rPr>
            </w:pPr>
            <w:r w:rsidRPr="00590E99">
              <w:rPr>
                <w:rFonts w:ascii="Arial" w:eastAsia="Arial" w:hAnsi="Arial" w:cs="Arial"/>
                <w:kern w:val="0"/>
                <w:sz w:val="16"/>
                <w:szCs w:val="16"/>
                <w:lang w:eastAsia="es-MX"/>
                <w14:ligatures w14:val="none"/>
              </w:rPr>
              <w:t>[[</w:t>
            </w:r>
            <w:r w:rsidRPr="00590E99">
              <w:rPr>
                <w:rFonts w:ascii="Arial" w:eastAsia="Arial" w:hAnsi="Arial" w:cs="Arial"/>
                <w:kern w:val="0"/>
                <w:sz w:val="16"/>
                <w:szCs w:val="16"/>
                <w:highlight w:val="yellow"/>
                <w:lang w:eastAsia="es-MX"/>
                <w14:ligatures w14:val="none"/>
              </w:rPr>
              <w:t>*</w:t>
            </w:r>
            <w:r w:rsidRPr="00590E99">
              <w:rPr>
                <w:rFonts w:ascii="Arial" w:eastAsia="Arial" w:hAnsi="Arial" w:cs="Arial"/>
                <w:kern w:val="0"/>
                <w:sz w:val="16"/>
                <w:szCs w:val="16"/>
                <w:lang w:eastAsia="es-MX"/>
                <w14:ligatures w14:val="none"/>
              </w:rPr>
              <w:t>]] %</w:t>
            </w:r>
          </w:p>
        </w:tc>
      </w:tr>
      <w:tr w:rsidR="00DA57A7" w14:paraId="0463F5A0" w14:textId="77777777" w:rsidTr="00D5613F">
        <w:trPr>
          <w:trHeight w:val="630"/>
        </w:trPr>
        <w:tc>
          <w:tcPr>
            <w:tcW w:w="990" w:type="dxa"/>
            <w:tcBorders>
              <w:top w:val="nil"/>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14:paraId="202D5DA9" w14:textId="77777777" w:rsidR="00590E99" w:rsidRPr="00590E99" w:rsidRDefault="00000000" w:rsidP="00590E99">
            <w:pPr>
              <w:spacing w:after="0" w:line="276" w:lineRule="auto"/>
              <w:jc w:val="center"/>
              <w:rPr>
                <w:rFonts w:ascii="Arial" w:eastAsia="Arial" w:hAnsi="Arial" w:cs="Arial"/>
                <w:kern w:val="0"/>
                <w:sz w:val="16"/>
                <w:szCs w:val="16"/>
                <w:lang w:eastAsia="es-MX"/>
                <w14:ligatures w14:val="none"/>
              </w:rPr>
            </w:pPr>
            <w:r w:rsidRPr="00590E99">
              <w:rPr>
                <w:rFonts w:ascii="Arial" w:eastAsia="Arial" w:hAnsi="Arial" w:cs="Arial"/>
                <w:kern w:val="0"/>
                <w:sz w:val="16"/>
                <w:szCs w:val="16"/>
                <w:lang w:eastAsia="es-MX"/>
                <w14:ligatures w14:val="none"/>
              </w:rPr>
              <w:t>--</w:t>
            </w:r>
          </w:p>
        </w:tc>
        <w:tc>
          <w:tcPr>
            <w:tcW w:w="1095"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076ED1F9" w14:textId="77777777" w:rsidR="00590E99" w:rsidRPr="00590E99" w:rsidRDefault="00000000" w:rsidP="00590E99">
            <w:pPr>
              <w:spacing w:after="0" w:line="276" w:lineRule="auto"/>
              <w:jc w:val="center"/>
              <w:rPr>
                <w:rFonts w:ascii="Arial" w:eastAsia="Arial" w:hAnsi="Arial" w:cs="Arial"/>
                <w:kern w:val="0"/>
                <w:sz w:val="16"/>
                <w:szCs w:val="16"/>
                <w:lang w:eastAsia="es-MX"/>
                <w14:ligatures w14:val="none"/>
              </w:rPr>
            </w:pPr>
            <w:r w:rsidRPr="00590E99">
              <w:rPr>
                <w:rFonts w:ascii="Arial" w:eastAsia="Arial" w:hAnsi="Arial" w:cs="Arial"/>
                <w:kern w:val="0"/>
                <w:sz w:val="16"/>
                <w:szCs w:val="16"/>
                <w:lang w:eastAsia="es-MX"/>
                <w14:ligatures w14:val="none"/>
              </w:rPr>
              <w:t>--</w:t>
            </w:r>
          </w:p>
        </w:tc>
        <w:tc>
          <w:tcPr>
            <w:tcW w:w="1380"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4179EC10" w14:textId="77777777" w:rsidR="00590E99" w:rsidRPr="00590E99" w:rsidRDefault="00000000" w:rsidP="00590E99">
            <w:pPr>
              <w:spacing w:after="0" w:line="276" w:lineRule="auto"/>
              <w:jc w:val="center"/>
              <w:rPr>
                <w:rFonts w:ascii="Arial" w:eastAsia="Arial" w:hAnsi="Arial" w:cs="Arial"/>
                <w:kern w:val="0"/>
                <w:sz w:val="16"/>
                <w:szCs w:val="16"/>
                <w:lang w:eastAsia="es-MX"/>
                <w14:ligatures w14:val="none"/>
              </w:rPr>
            </w:pPr>
            <w:r w:rsidRPr="00590E99">
              <w:rPr>
                <w:rFonts w:ascii="Arial" w:eastAsia="Arial" w:hAnsi="Arial" w:cs="Arial"/>
                <w:kern w:val="0"/>
                <w:sz w:val="16"/>
                <w:szCs w:val="16"/>
                <w:lang w:eastAsia="es-MX"/>
                <w14:ligatures w14:val="none"/>
              </w:rPr>
              <w:t>E</w:t>
            </w:r>
          </w:p>
          <w:p w14:paraId="7D61FAE6" w14:textId="77777777" w:rsidR="00590E99" w:rsidRPr="00590E99" w:rsidRDefault="00000000" w:rsidP="00590E99">
            <w:pPr>
              <w:spacing w:after="0" w:line="276" w:lineRule="auto"/>
              <w:jc w:val="center"/>
              <w:rPr>
                <w:rFonts w:ascii="Arial" w:eastAsia="Arial" w:hAnsi="Arial" w:cs="Arial"/>
                <w:kern w:val="0"/>
                <w:sz w:val="16"/>
                <w:szCs w:val="16"/>
                <w:lang w:eastAsia="es-MX"/>
                <w14:ligatures w14:val="none"/>
              </w:rPr>
            </w:pPr>
            <w:r w:rsidRPr="00590E99">
              <w:rPr>
                <w:rFonts w:ascii="Arial" w:eastAsia="Arial" w:hAnsi="Arial" w:cs="Arial"/>
                <w:kern w:val="0"/>
                <w:sz w:val="16"/>
                <w:szCs w:val="16"/>
                <w:lang w:eastAsia="es-MX"/>
                <w14:ligatures w14:val="none"/>
              </w:rPr>
              <w:t xml:space="preserve"> </w:t>
            </w:r>
          </w:p>
        </w:tc>
        <w:tc>
          <w:tcPr>
            <w:tcW w:w="1365"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32E348A2" w14:textId="77777777" w:rsidR="00590E99" w:rsidRPr="00590E99" w:rsidRDefault="00000000" w:rsidP="00590E99">
            <w:pPr>
              <w:spacing w:after="0" w:line="276" w:lineRule="auto"/>
              <w:jc w:val="center"/>
              <w:rPr>
                <w:rFonts w:ascii="Arial" w:eastAsia="Arial" w:hAnsi="Arial" w:cs="Arial"/>
                <w:kern w:val="0"/>
                <w:sz w:val="16"/>
                <w:szCs w:val="16"/>
                <w:lang w:eastAsia="es-MX"/>
                <w14:ligatures w14:val="none"/>
              </w:rPr>
            </w:pPr>
            <w:r w:rsidRPr="00590E99">
              <w:rPr>
                <w:rFonts w:ascii="Arial" w:eastAsia="Arial" w:hAnsi="Arial" w:cs="Arial"/>
                <w:kern w:val="0"/>
                <w:sz w:val="16"/>
                <w:szCs w:val="16"/>
                <w:lang w:eastAsia="es-MX"/>
                <w14:ligatures w14:val="none"/>
              </w:rPr>
              <w:t>--</w:t>
            </w:r>
          </w:p>
        </w:tc>
        <w:tc>
          <w:tcPr>
            <w:tcW w:w="2090"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54664B16" w14:textId="77777777" w:rsidR="00590E99" w:rsidRPr="00590E99" w:rsidRDefault="00000000" w:rsidP="00590E99">
            <w:pPr>
              <w:spacing w:after="0" w:line="276" w:lineRule="auto"/>
              <w:jc w:val="center"/>
              <w:rPr>
                <w:rFonts w:ascii="Arial" w:eastAsia="Arial" w:hAnsi="Arial" w:cs="Arial"/>
                <w:kern w:val="0"/>
                <w:sz w:val="16"/>
                <w:szCs w:val="16"/>
                <w:lang w:eastAsia="es-MX"/>
                <w14:ligatures w14:val="none"/>
              </w:rPr>
            </w:pPr>
            <w:r w:rsidRPr="00590E99">
              <w:rPr>
                <w:rFonts w:ascii="Arial" w:eastAsia="Arial" w:hAnsi="Arial" w:cs="Arial"/>
                <w:kern w:val="0"/>
                <w:sz w:val="16"/>
                <w:szCs w:val="16"/>
                <w:lang w:eastAsia="es-MX"/>
                <w14:ligatures w14:val="none"/>
              </w:rPr>
              <w:t>E/M</w:t>
            </w:r>
          </w:p>
          <w:p w14:paraId="735B7BD5" w14:textId="77777777" w:rsidR="00590E99" w:rsidRPr="00590E99" w:rsidRDefault="00000000" w:rsidP="00590E99">
            <w:pPr>
              <w:spacing w:after="0" w:line="276" w:lineRule="auto"/>
              <w:jc w:val="center"/>
              <w:rPr>
                <w:rFonts w:ascii="Arial" w:eastAsia="Arial" w:hAnsi="Arial" w:cs="Arial"/>
                <w:kern w:val="0"/>
                <w:sz w:val="16"/>
                <w:szCs w:val="16"/>
                <w:lang w:eastAsia="es-MX"/>
                <w14:ligatures w14:val="none"/>
              </w:rPr>
            </w:pPr>
            <w:r w:rsidRPr="00590E99">
              <w:rPr>
                <w:rFonts w:ascii="Arial" w:eastAsia="Arial" w:hAnsi="Arial" w:cs="Arial"/>
                <w:kern w:val="0"/>
                <w:sz w:val="16"/>
                <w:szCs w:val="16"/>
                <w:lang w:eastAsia="es-MX"/>
                <w14:ligatures w14:val="none"/>
              </w:rPr>
              <w:t xml:space="preserve"> </w:t>
            </w:r>
          </w:p>
        </w:tc>
        <w:tc>
          <w:tcPr>
            <w:tcW w:w="1620"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17AA895A" w14:textId="77777777" w:rsidR="00590E99" w:rsidRPr="00590E99" w:rsidRDefault="00000000" w:rsidP="00590E99">
            <w:pPr>
              <w:spacing w:after="0" w:line="276" w:lineRule="auto"/>
              <w:jc w:val="center"/>
              <w:rPr>
                <w:rFonts w:ascii="Arial" w:eastAsia="Arial" w:hAnsi="Arial" w:cs="Arial"/>
                <w:kern w:val="0"/>
                <w:sz w:val="16"/>
                <w:szCs w:val="16"/>
                <w:lang w:eastAsia="es-MX"/>
                <w14:ligatures w14:val="none"/>
              </w:rPr>
            </w:pPr>
            <w:r w:rsidRPr="00590E99">
              <w:rPr>
                <w:rFonts w:ascii="Arial" w:eastAsia="Arial" w:hAnsi="Arial" w:cs="Arial"/>
                <w:kern w:val="0"/>
                <w:sz w:val="16"/>
                <w:szCs w:val="16"/>
                <w:lang w:eastAsia="es-MX"/>
                <w14:ligatures w14:val="none"/>
              </w:rPr>
              <w:t>[[</w:t>
            </w:r>
            <w:r w:rsidRPr="00590E99">
              <w:rPr>
                <w:rFonts w:ascii="Arial" w:eastAsia="Arial" w:hAnsi="Arial" w:cs="Arial"/>
                <w:kern w:val="0"/>
                <w:sz w:val="16"/>
                <w:szCs w:val="16"/>
                <w:highlight w:val="yellow"/>
                <w:lang w:eastAsia="es-MX"/>
                <w14:ligatures w14:val="none"/>
              </w:rPr>
              <w:t>*</w:t>
            </w:r>
            <w:r w:rsidRPr="00590E99">
              <w:rPr>
                <w:rFonts w:ascii="Arial" w:eastAsia="Arial" w:hAnsi="Arial" w:cs="Arial"/>
                <w:kern w:val="0"/>
                <w:sz w:val="16"/>
                <w:szCs w:val="16"/>
                <w:lang w:eastAsia="es-MX"/>
                <w14:ligatures w14:val="none"/>
              </w:rPr>
              <w:t>]] %</w:t>
            </w:r>
          </w:p>
        </w:tc>
      </w:tr>
      <w:tr w:rsidR="00DA57A7" w14:paraId="70D937FB" w14:textId="77777777" w:rsidTr="00D5613F">
        <w:trPr>
          <w:trHeight w:val="285"/>
        </w:trPr>
        <w:tc>
          <w:tcPr>
            <w:tcW w:w="4830" w:type="dxa"/>
            <w:gridSpan w:val="4"/>
            <w:tcBorders>
              <w:top w:val="nil"/>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14:paraId="09D2A9E2" w14:textId="77777777" w:rsidR="00590E99" w:rsidRPr="00590E99" w:rsidRDefault="00000000" w:rsidP="00590E99">
            <w:pPr>
              <w:spacing w:after="0" w:line="276" w:lineRule="auto"/>
              <w:jc w:val="center"/>
              <w:rPr>
                <w:rFonts w:ascii="Arial" w:eastAsia="Arial" w:hAnsi="Arial" w:cs="Arial"/>
                <w:kern w:val="0"/>
                <w:sz w:val="16"/>
                <w:szCs w:val="16"/>
                <w:lang w:eastAsia="es-MX"/>
                <w14:ligatures w14:val="none"/>
              </w:rPr>
            </w:pPr>
            <w:r w:rsidRPr="00590E99">
              <w:rPr>
                <w:rFonts w:ascii="Arial" w:eastAsia="Arial" w:hAnsi="Arial" w:cs="Arial"/>
                <w:kern w:val="0"/>
                <w:sz w:val="16"/>
                <w:szCs w:val="16"/>
                <w:lang w:eastAsia="es-MX"/>
                <w14:ligatures w14:val="none"/>
              </w:rPr>
              <w:t>No calificado</w:t>
            </w:r>
          </w:p>
        </w:tc>
        <w:tc>
          <w:tcPr>
            <w:tcW w:w="2090"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71CC03C3" w14:textId="77777777" w:rsidR="00590E99" w:rsidRPr="00590E99" w:rsidRDefault="00000000" w:rsidP="00590E99">
            <w:pPr>
              <w:spacing w:after="0" w:line="276" w:lineRule="auto"/>
              <w:jc w:val="center"/>
              <w:rPr>
                <w:rFonts w:ascii="Arial" w:eastAsia="Arial" w:hAnsi="Arial" w:cs="Arial"/>
                <w:kern w:val="0"/>
                <w:sz w:val="16"/>
                <w:szCs w:val="16"/>
                <w:lang w:eastAsia="es-MX"/>
                <w14:ligatures w14:val="none"/>
              </w:rPr>
            </w:pPr>
            <w:r w:rsidRPr="00590E99">
              <w:rPr>
                <w:rFonts w:ascii="Arial" w:eastAsia="Arial" w:hAnsi="Arial" w:cs="Arial"/>
                <w:kern w:val="0"/>
                <w:sz w:val="16"/>
                <w:szCs w:val="16"/>
                <w:lang w:eastAsia="es-MX"/>
                <w14:ligatures w14:val="none"/>
              </w:rPr>
              <w:t xml:space="preserve"> </w:t>
            </w:r>
          </w:p>
        </w:tc>
        <w:tc>
          <w:tcPr>
            <w:tcW w:w="1620"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3AB946AD" w14:textId="77777777" w:rsidR="00590E99" w:rsidRPr="00590E99" w:rsidRDefault="00000000" w:rsidP="00590E99">
            <w:pPr>
              <w:spacing w:after="0" w:line="276" w:lineRule="auto"/>
              <w:jc w:val="center"/>
              <w:rPr>
                <w:rFonts w:ascii="Arial" w:eastAsia="Arial" w:hAnsi="Arial" w:cs="Arial"/>
                <w:kern w:val="0"/>
                <w:sz w:val="16"/>
                <w:szCs w:val="16"/>
                <w:lang w:eastAsia="es-MX"/>
                <w14:ligatures w14:val="none"/>
              </w:rPr>
            </w:pPr>
            <w:r w:rsidRPr="00590E99">
              <w:rPr>
                <w:rFonts w:ascii="Arial" w:eastAsia="Arial" w:hAnsi="Arial" w:cs="Arial"/>
                <w:kern w:val="0"/>
                <w:sz w:val="16"/>
                <w:szCs w:val="16"/>
                <w:lang w:eastAsia="es-MX"/>
                <w14:ligatures w14:val="none"/>
              </w:rPr>
              <w:t>[[</w:t>
            </w:r>
            <w:r w:rsidRPr="00590E99">
              <w:rPr>
                <w:rFonts w:ascii="Arial" w:eastAsia="Arial" w:hAnsi="Arial" w:cs="Arial"/>
                <w:kern w:val="0"/>
                <w:sz w:val="16"/>
                <w:szCs w:val="16"/>
                <w:highlight w:val="yellow"/>
                <w:lang w:eastAsia="es-MX"/>
                <w14:ligatures w14:val="none"/>
              </w:rPr>
              <w:t>*</w:t>
            </w:r>
            <w:r w:rsidRPr="00590E99">
              <w:rPr>
                <w:rFonts w:ascii="Arial" w:eastAsia="Arial" w:hAnsi="Arial" w:cs="Arial"/>
                <w:kern w:val="0"/>
                <w:sz w:val="16"/>
                <w:szCs w:val="16"/>
                <w:lang w:eastAsia="es-MX"/>
                <w14:ligatures w14:val="none"/>
              </w:rPr>
              <w:t>]] %</w:t>
            </w:r>
          </w:p>
        </w:tc>
      </w:tr>
    </w:tbl>
    <w:p w14:paraId="58458FEB" w14:textId="77777777" w:rsidR="00590E99" w:rsidRPr="00590E99" w:rsidRDefault="00000000" w:rsidP="00590E99">
      <w:pPr>
        <w:spacing w:after="0" w:line="276" w:lineRule="auto"/>
        <w:ind w:firstLine="720"/>
        <w:jc w:val="center"/>
        <w:rPr>
          <w:rFonts w:ascii="Arial" w:eastAsia="Arial" w:hAnsi="Arial" w:cs="Arial"/>
          <w:kern w:val="0"/>
          <w:sz w:val="22"/>
          <w:szCs w:val="22"/>
          <w:lang w:eastAsia="es-MX"/>
          <w14:ligatures w14:val="none"/>
        </w:rPr>
      </w:pPr>
      <w:r w:rsidRPr="00590E99">
        <w:rPr>
          <w:rFonts w:ascii="Arial" w:eastAsia="Arial" w:hAnsi="Arial" w:cs="Arial"/>
          <w:kern w:val="0"/>
          <w:sz w:val="22"/>
          <w:szCs w:val="22"/>
          <w:lang w:eastAsia="es-MX"/>
          <w14:ligatures w14:val="none"/>
        </w:rPr>
        <w:t xml:space="preserve"> </w:t>
      </w:r>
    </w:p>
    <w:p w14:paraId="7FAF0E66" w14:textId="77777777" w:rsidR="00590E99" w:rsidRPr="00590E99" w:rsidRDefault="00000000" w:rsidP="00590E99">
      <w:pPr>
        <w:spacing w:after="0" w:line="276" w:lineRule="auto"/>
        <w:ind w:firstLine="720"/>
        <w:jc w:val="center"/>
        <w:rPr>
          <w:rFonts w:ascii="Arial" w:eastAsia="Arial" w:hAnsi="Arial" w:cs="Arial"/>
          <w:kern w:val="0"/>
          <w:sz w:val="22"/>
          <w:szCs w:val="22"/>
          <w:lang w:eastAsia="es-MX"/>
          <w14:ligatures w14:val="none"/>
        </w:rPr>
      </w:pPr>
      <w:r w:rsidRPr="00590E99">
        <w:rPr>
          <w:rFonts w:ascii="Arial" w:eastAsia="Arial" w:hAnsi="Arial" w:cs="Arial"/>
          <w:kern w:val="0"/>
          <w:sz w:val="22"/>
          <w:szCs w:val="22"/>
          <w:lang w:eastAsia="es-MX"/>
          <w14:ligatures w14:val="none"/>
        </w:rPr>
        <w:lastRenderedPageBreak/>
        <w:t>Otros términos y condiciones de la Oferta</w:t>
      </w:r>
    </w:p>
    <w:p w14:paraId="79C84BB3" w14:textId="77777777" w:rsidR="00590E99" w:rsidRPr="00590E99" w:rsidRDefault="00000000" w:rsidP="00590E99">
      <w:pPr>
        <w:spacing w:after="0" w:line="276" w:lineRule="auto"/>
        <w:ind w:firstLine="720"/>
        <w:jc w:val="center"/>
        <w:rPr>
          <w:rFonts w:ascii="Arial" w:eastAsia="Arial" w:hAnsi="Arial" w:cs="Arial"/>
          <w:kern w:val="0"/>
          <w:sz w:val="22"/>
          <w:szCs w:val="22"/>
          <w:lang w:eastAsia="es-MX"/>
          <w14:ligatures w14:val="none"/>
        </w:rPr>
      </w:pPr>
      <w:r w:rsidRPr="00590E99">
        <w:rPr>
          <w:rFonts w:ascii="Arial" w:eastAsia="Arial" w:hAnsi="Arial" w:cs="Arial"/>
          <w:i/>
          <w:kern w:val="0"/>
          <w:sz w:val="22"/>
          <w:szCs w:val="22"/>
          <w:lang w:eastAsia="es-MX"/>
          <w14:ligatures w14:val="none"/>
        </w:rPr>
        <w:t xml:space="preserve">[El presente apartado </w:t>
      </w:r>
      <w:r w:rsidRPr="00590E99">
        <w:rPr>
          <w:rFonts w:ascii="Arial" w:eastAsia="Arial" w:hAnsi="Arial" w:cs="Arial"/>
          <w:i/>
          <w:kern w:val="0"/>
          <w:sz w:val="22"/>
          <w:szCs w:val="22"/>
          <w:u w:val="single"/>
          <w:lang w:eastAsia="es-MX"/>
          <w14:ligatures w14:val="none"/>
        </w:rPr>
        <w:t>no puede ser modificado</w:t>
      </w:r>
      <w:r w:rsidRPr="00590E99">
        <w:rPr>
          <w:rFonts w:ascii="Arial" w:eastAsia="Arial" w:hAnsi="Arial" w:cs="Arial"/>
          <w:i/>
          <w:kern w:val="0"/>
          <w:sz w:val="22"/>
          <w:szCs w:val="22"/>
          <w:lang w:eastAsia="es-MX"/>
          <w14:ligatures w14:val="none"/>
        </w:rPr>
        <w:t xml:space="preserve"> </w:t>
      </w:r>
      <w:r w:rsidR="004153C7">
        <w:rPr>
          <w:rFonts w:ascii="Arial" w:eastAsia="Arial" w:hAnsi="Arial" w:cs="Arial"/>
          <w:i/>
          <w:kern w:val="0"/>
          <w:sz w:val="22"/>
          <w:szCs w:val="22"/>
          <w:lang w:eastAsia="es-MX"/>
          <w14:ligatures w14:val="none"/>
        </w:rPr>
        <w:t xml:space="preserve"> </w:t>
      </w:r>
      <w:r w:rsidRPr="00590E99">
        <w:rPr>
          <w:rFonts w:ascii="Arial" w:eastAsia="Arial" w:hAnsi="Arial" w:cs="Arial"/>
          <w:i/>
          <w:kern w:val="0"/>
          <w:sz w:val="22"/>
          <w:szCs w:val="22"/>
          <w:lang w:eastAsia="es-MX"/>
          <w14:ligatures w14:val="none"/>
        </w:rPr>
        <w:t>por las Instituciones Financieras]</w:t>
      </w:r>
    </w:p>
    <w:p w14:paraId="140CFA8E" w14:textId="77777777" w:rsidR="00590E99" w:rsidRPr="00590E99" w:rsidRDefault="00590E99" w:rsidP="00590E99">
      <w:pPr>
        <w:spacing w:after="0" w:line="276" w:lineRule="auto"/>
        <w:ind w:firstLine="720"/>
        <w:jc w:val="center"/>
        <w:rPr>
          <w:rFonts w:ascii="Arial" w:eastAsia="Arial" w:hAnsi="Arial" w:cs="Arial"/>
          <w:kern w:val="0"/>
          <w:sz w:val="22"/>
          <w:szCs w:val="22"/>
          <w:lang w:eastAsia="es-MX"/>
          <w14:ligatures w14:val="none"/>
        </w:rPr>
      </w:pPr>
    </w:p>
    <w:tbl>
      <w:tblPr>
        <w:tblW w:w="0" w:type="auto"/>
        <w:tblBorders>
          <w:top w:val="nil"/>
          <w:left w:val="nil"/>
          <w:bottom w:val="nil"/>
          <w:right w:val="nil"/>
          <w:insideH w:val="nil"/>
          <w:insideV w:val="nil"/>
        </w:tblBorders>
        <w:tblLook w:val="0600" w:firstRow="0" w:lastRow="0" w:firstColumn="0" w:lastColumn="0" w:noHBand="1" w:noVBand="1"/>
      </w:tblPr>
      <w:tblGrid>
        <w:gridCol w:w="1900"/>
        <w:gridCol w:w="6918"/>
      </w:tblGrid>
      <w:tr w:rsidR="00DA57A7" w14:paraId="02F86578" w14:textId="77777777" w:rsidTr="00F97D5C">
        <w:trPr>
          <w:trHeight w:val="103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0F4DC0C" w14:textId="77777777" w:rsidR="00590E99" w:rsidRPr="00590E99" w:rsidRDefault="00000000" w:rsidP="00590E99">
            <w:pPr>
              <w:spacing w:after="0" w:line="276" w:lineRule="auto"/>
              <w:jc w:val="both"/>
              <w:rPr>
                <w:rFonts w:ascii="Arial" w:eastAsia="Arial" w:hAnsi="Arial" w:cs="Arial"/>
                <w:kern w:val="0"/>
                <w:sz w:val="22"/>
                <w:szCs w:val="22"/>
                <w:lang w:eastAsia="es-MX"/>
                <w14:ligatures w14:val="none"/>
              </w:rPr>
            </w:pPr>
            <w:r w:rsidRPr="00590E99">
              <w:rPr>
                <w:rFonts w:ascii="Arial" w:eastAsia="Arial" w:hAnsi="Arial" w:cs="Arial"/>
                <w:kern w:val="0"/>
                <w:sz w:val="22"/>
                <w:szCs w:val="22"/>
                <w:lang w:eastAsia="es-MX"/>
                <w14:ligatures w14:val="none"/>
              </w:rPr>
              <w:t>Tipo de financiamiento:</w:t>
            </w:r>
          </w:p>
        </w:tc>
        <w:tc>
          <w:tcPr>
            <w:tcW w:w="0" w:type="auto"/>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
          <w:p w14:paraId="5CAA969E" w14:textId="77777777" w:rsidR="00590E99" w:rsidRPr="00590E99" w:rsidRDefault="00000000" w:rsidP="00590E99">
            <w:pPr>
              <w:widowControl w:val="0"/>
              <w:spacing w:after="240" w:line="276" w:lineRule="auto"/>
              <w:jc w:val="both"/>
              <w:rPr>
                <w:rFonts w:ascii="Arial" w:eastAsia="Arial" w:hAnsi="Arial" w:cs="Arial"/>
                <w:kern w:val="0"/>
                <w:sz w:val="22"/>
                <w:szCs w:val="22"/>
                <w:lang w:eastAsia="es-MX"/>
                <w14:ligatures w14:val="none"/>
              </w:rPr>
            </w:pPr>
            <w:r w:rsidRPr="00590E99">
              <w:rPr>
                <w:rFonts w:ascii="Arial" w:eastAsia="Arial" w:hAnsi="Arial" w:cs="Arial"/>
                <w:kern w:val="0"/>
                <w:sz w:val="22"/>
                <w:szCs w:val="22"/>
                <w:lang w:eastAsia="es-MX"/>
                <w14:ligatures w14:val="none"/>
              </w:rPr>
              <w:t xml:space="preserve">Respecto de cada Institución Financiera que presente una Oferta (según dicho término se define más adelante) y resulte ganadora, se celebrará un Contrato de Crédito, en términos sustancialmente similares a los Modelos de Contratos de Crédito que corresponda según el destino aplicable (Refinanciamiento y/o Reestructura o Nuevo Financiamiento), conforme dichos modelos se adjuntan a las Bases de la Licitación como </w:t>
            </w:r>
            <w:r w:rsidRPr="00590E99">
              <w:rPr>
                <w:rFonts w:ascii="Arial" w:eastAsia="Arial" w:hAnsi="Arial" w:cs="Arial"/>
                <w:b/>
                <w:kern w:val="0"/>
                <w:sz w:val="22"/>
                <w:szCs w:val="22"/>
                <w:lang w:eastAsia="es-MX"/>
                <w14:ligatures w14:val="none"/>
              </w:rPr>
              <w:t>Anexo A1</w:t>
            </w:r>
            <w:r w:rsidRPr="00590E99">
              <w:rPr>
                <w:rFonts w:ascii="Arial" w:eastAsia="Arial" w:hAnsi="Arial" w:cs="Arial"/>
                <w:kern w:val="0"/>
                <w:sz w:val="22"/>
                <w:szCs w:val="22"/>
                <w:lang w:eastAsia="es-MX"/>
                <w14:ligatures w14:val="none"/>
              </w:rPr>
              <w:t xml:space="preserve"> (</w:t>
            </w:r>
            <w:r w:rsidRPr="00590E99">
              <w:rPr>
                <w:rFonts w:ascii="Arial" w:eastAsia="Arial" w:hAnsi="Arial" w:cs="Arial"/>
                <w:i/>
                <w:kern w:val="0"/>
                <w:sz w:val="22"/>
                <w:szCs w:val="22"/>
                <w:lang w:eastAsia="es-MX"/>
                <w14:ligatures w14:val="none"/>
              </w:rPr>
              <w:t>Modelo de Contrato para Refinanciamiento y/o Reestructura</w:t>
            </w:r>
            <w:r w:rsidRPr="00590E99">
              <w:rPr>
                <w:rFonts w:ascii="Arial" w:eastAsia="Arial" w:hAnsi="Arial" w:cs="Arial"/>
                <w:kern w:val="0"/>
                <w:sz w:val="22"/>
                <w:szCs w:val="22"/>
                <w:lang w:eastAsia="es-MX"/>
                <w14:ligatures w14:val="none"/>
              </w:rPr>
              <w:t xml:space="preserve">) y </w:t>
            </w:r>
            <w:r w:rsidRPr="00590E99">
              <w:rPr>
                <w:rFonts w:ascii="Arial" w:eastAsia="Arial" w:hAnsi="Arial" w:cs="Arial"/>
                <w:b/>
                <w:kern w:val="0"/>
                <w:sz w:val="22"/>
                <w:szCs w:val="22"/>
                <w:lang w:eastAsia="es-MX"/>
                <w14:ligatures w14:val="none"/>
              </w:rPr>
              <w:t>Anexo A2</w:t>
            </w:r>
            <w:r w:rsidRPr="00590E99">
              <w:rPr>
                <w:rFonts w:ascii="Arial" w:eastAsia="Arial" w:hAnsi="Arial" w:cs="Arial"/>
                <w:kern w:val="0"/>
                <w:sz w:val="22"/>
                <w:szCs w:val="22"/>
                <w:lang w:eastAsia="es-MX"/>
                <w14:ligatures w14:val="none"/>
              </w:rPr>
              <w:t xml:space="preserve"> (</w:t>
            </w:r>
            <w:r w:rsidRPr="00590E99">
              <w:rPr>
                <w:rFonts w:ascii="Arial" w:eastAsia="Arial" w:hAnsi="Arial" w:cs="Arial"/>
                <w:i/>
                <w:kern w:val="0"/>
                <w:sz w:val="22"/>
                <w:szCs w:val="22"/>
                <w:lang w:eastAsia="es-MX"/>
                <w14:ligatures w14:val="none"/>
              </w:rPr>
              <w:t>Modelo de Contrato para el Nuevo Financiamiento</w:t>
            </w:r>
            <w:r w:rsidRPr="00590E99">
              <w:rPr>
                <w:rFonts w:ascii="Arial" w:eastAsia="Arial" w:hAnsi="Arial" w:cs="Arial"/>
                <w:kern w:val="0"/>
                <w:sz w:val="22"/>
                <w:szCs w:val="22"/>
                <w:lang w:eastAsia="es-MX"/>
                <w14:ligatures w14:val="none"/>
              </w:rPr>
              <w:t>), según corresponda al destino ofertado por la Institución Financiera participante.</w:t>
            </w:r>
          </w:p>
          <w:p w14:paraId="17611892" w14:textId="77777777" w:rsidR="00590E99" w:rsidRPr="00590E99" w:rsidRDefault="00000000" w:rsidP="00590E99">
            <w:pPr>
              <w:widowControl w:val="0"/>
              <w:spacing w:before="240" w:after="0" w:line="276" w:lineRule="auto"/>
              <w:jc w:val="both"/>
              <w:rPr>
                <w:rFonts w:ascii="Arial" w:eastAsia="Arial" w:hAnsi="Arial" w:cs="Arial"/>
                <w:kern w:val="0"/>
                <w:sz w:val="22"/>
                <w:szCs w:val="22"/>
                <w:lang w:eastAsia="es-MX"/>
                <w14:ligatures w14:val="none"/>
              </w:rPr>
            </w:pPr>
            <w:r w:rsidRPr="00590E99">
              <w:rPr>
                <w:rFonts w:ascii="Arial" w:eastAsia="Arial" w:hAnsi="Arial" w:cs="Arial"/>
                <w:kern w:val="0"/>
                <w:sz w:val="22"/>
                <w:szCs w:val="22"/>
                <w:lang w:eastAsia="es-MX"/>
                <w14:ligatures w14:val="none"/>
              </w:rPr>
              <w:t>Se señala que en caso de reestructurar alguno de los Créditos Vigentes, se celebrará el convenio modificatorio del mismo con la Institución Financiera correspondiente.</w:t>
            </w:r>
          </w:p>
        </w:tc>
      </w:tr>
      <w:tr w:rsidR="00DA57A7" w14:paraId="2277CFCD" w14:textId="77777777" w:rsidTr="00F97D5C">
        <w:trPr>
          <w:trHeight w:val="160"/>
        </w:trPr>
        <w:tc>
          <w:tcPr>
            <w:tcW w:w="0" w:type="auto"/>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0E596A90" w14:textId="77777777" w:rsidR="004153C7" w:rsidRPr="00590E99" w:rsidRDefault="00000000" w:rsidP="004153C7">
            <w:pPr>
              <w:spacing w:after="0" w:line="276" w:lineRule="auto"/>
              <w:jc w:val="both"/>
              <w:rPr>
                <w:rFonts w:ascii="Arial" w:eastAsia="Arial" w:hAnsi="Arial" w:cs="Arial"/>
                <w:kern w:val="0"/>
                <w:sz w:val="22"/>
                <w:szCs w:val="22"/>
                <w:lang w:eastAsia="es-MX"/>
                <w14:ligatures w14:val="none"/>
              </w:rPr>
            </w:pPr>
            <w:r w:rsidRPr="00590E99">
              <w:rPr>
                <w:rFonts w:ascii="Arial" w:eastAsia="Arial" w:hAnsi="Arial" w:cs="Arial"/>
                <w:kern w:val="0"/>
                <w:sz w:val="22"/>
                <w:szCs w:val="22"/>
                <w:lang w:eastAsia="es-MX"/>
                <w14:ligatures w14:val="none"/>
              </w:rPr>
              <w:t>Monto y destino del Financiamiento:</w:t>
            </w:r>
          </w:p>
          <w:p w14:paraId="1759D21C" w14:textId="77777777" w:rsidR="004153C7" w:rsidRPr="00590E99" w:rsidRDefault="00000000" w:rsidP="004153C7">
            <w:pPr>
              <w:spacing w:after="0" w:line="276" w:lineRule="auto"/>
              <w:jc w:val="both"/>
              <w:rPr>
                <w:rFonts w:ascii="Arial" w:eastAsia="Arial" w:hAnsi="Arial" w:cs="Arial"/>
                <w:kern w:val="0"/>
                <w:sz w:val="22"/>
                <w:szCs w:val="22"/>
                <w:lang w:eastAsia="es-MX"/>
                <w14:ligatures w14:val="none"/>
              </w:rPr>
            </w:pPr>
            <w:r w:rsidRPr="00590E99">
              <w:rPr>
                <w:rFonts w:ascii="Arial" w:eastAsia="Arial" w:hAnsi="Arial" w:cs="Arial"/>
                <w:kern w:val="0"/>
                <w:sz w:val="22"/>
                <w:szCs w:val="22"/>
                <w:lang w:eastAsia="es-MX"/>
                <w14:ligatures w14:val="none"/>
              </w:rPr>
              <w:t xml:space="preserve"> </w:t>
            </w:r>
          </w:p>
        </w:tc>
        <w:tc>
          <w:tcPr>
            <w:tcW w:w="0" w:type="auto"/>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BDE44B3" w14:textId="77777777" w:rsidR="004153C7" w:rsidRPr="00590E99" w:rsidRDefault="00000000" w:rsidP="004153C7">
            <w:pPr>
              <w:widowControl w:val="0"/>
              <w:spacing w:after="240" w:line="276" w:lineRule="auto"/>
              <w:jc w:val="both"/>
              <w:rPr>
                <w:rFonts w:ascii="Arial" w:eastAsia="Arial" w:hAnsi="Arial" w:cs="Arial"/>
                <w:kern w:val="0"/>
                <w:sz w:val="22"/>
                <w:szCs w:val="22"/>
                <w:lang w:eastAsia="es-MX"/>
                <w14:ligatures w14:val="none"/>
              </w:rPr>
            </w:pPr>
            <w:r w:rsidRPr="00590E99">
              <w:rPr>
                <w:rFonts w:ascii="Arial" w:eastAsia="Arial" w:hAnsi="Arial" w:cs="Arial"/>
                <w:kern w:val="0"/>
                <w:sz w:val="22"/>
                <w:szCs w:val="22"/>
                <w:lang w:eastAsia="es-MX"/>
                <w14:ligatures w14:val="none"/>
              </w:rPr>
              <w:t>El total de las Ofertas de cada Institución Financiera participante en la Licitación Pública será de hasta $6,813,226,484.00 (seis mil ochocientos trece millones doscientos veintiséis mil cuatrocientos ochenta y cuatro pesos 00/100 M.N.), el cual equivale a la suma del Monto del Refinanciamiento y/o Reestructura y Monto del Nuevo Financiamiento (“</w:t>
            </w:r>
            <w:r w:rsidRPr="00590E99">
              <w:rPr>
                <w:rFonts w:ascii="Arial" w:eastAsia="Arial" w:hAnsi="Arial" w:cs="Arial"/>
                <w:kern w:val="0"/>
                <w:sz w:val="22"/>
                <w:szCs w:val="22"/>
                <w:u w:val="single"/>
                <w:lang w:eastAsia="es-MX"/>
                <w14:ligatures w14:val="none"/>
              </w:rPr>
              <w:t>Monto Total del Financiamiento</w:t>
            </w:r>
            <w:r w:rsidRPr="00590E99">
              <w:rPr>
                <w:rFonts w:ascii="Arial" w:eastAsia="Arial" w:hAnsi="Arial" w:cs="Arial"/>
                <w:kern w:val="0"/>
                <w:sz w:val="22"/>
                <w:szCs w:val="22"/>
                <w:lang w:eastAsia="es-MX"/>
                <w14:ligatures w14:val="none"/>
              </w:rPr>
              <w:t>”).</w:t>
            </w:r>
          </w:p>
          <w:p w14:paraId="48FE80A3" w14:textId="77777777" w:rsidR="004153C7" w:rsidRPr="00590E99" w:rsidRDefault="00000000" w:rsidP="004153C7">
            <w:pPr>
              <w:widowControl w:val="0"/>
              <w:spacing w:after="240" w:line="276" w:lineRule="auto"/>
              <w:jc w:val="both"/>
              <w:rPr>
                <w:rFonts w:ascii="Arial" w:eastAsia="Arial" w:hAnsi="Arial" w:cs="Arial"/>
                <w:kern w:val="0"/>
                <w:sz w:val="22"/>
                <w:szCs w:val="22"/>
                <w:lang w:eastAsia="es-MX"/>
                <w14:ligatures w14:val="none"/>
              </w:rPr>
            </w:pPr>
            <w:r w:rsidRPr="00590E99">
              <w:rPr>
                <w:rFonts w:ascii="Arial" w:eastAsia="Arial" w:hAnsi="Arial" w:cs="Arial"/>
                <w:kern w:val="0"/>
                <w:sz w:val="22"/>
                <w:szCs w:val="22"/>
                <w:lang w:eastAsia="es-MX"/>
                <w14:ligatures w14:val="none"/>
              </w:rPr>
              <w:t>Las Instituciones Financieras participantes en la Licitación Pública deberán presentar por lo menos una Oferta (según dicho término se define más adelante). Toda Oferta deberá indicar el destino al que corresponde, entre lo siguientes:</w:t>
            </w:r>
          </w:p>
          <w:p w14:paraId="6699BF8F" w14:textId="77777777" w:rsidR="004153C7" w:rsidRPr="00590E99" w:rsidRDefault="00000000" w:rsidP="004153C7">
            <w:pPr>
              <w:widowControl w:val="0"/>
              <w:spacing w:before="240" w:after="240" w:line="276" w:lineRule="auto"/>
              <w:jc w:val="both"/>
              <w:rPr>
                <w:rFonts w:ascii="Arial" w:eastAsia="Arial" w:hAnsi="Arial" w:cs="Arial"/>
                <w:kern w:val="0"/>
                <w:sz w:val="22"/>
                <w:szCs w:val="22"/>
                <w:lang w:eastAsia="es-MX"/>
                <w14:ligatures w14:val="none"/>
              </w:rPr>
            </w:pPr>
            <w:r w:rsidRPr="00590E99">
              <w:rPr>
                <w:rFonts w:ascii="Arial" w:eastAsia="Arial" w:hAnsi="Arial" w:cs="Arial"/>
                <w:b/>
                <w:kern w:val="0"/>
                <w:sz w:val="22"/>
                <w:szCs w:val="22"/>
                <w:lang w:eastAsia="es-MX"/>
                <w14:ligatures w14:val="none"/>
              </w:rPr>
              <w:t>(</w:t>
            </w:r>
            <w:r w:rsidRPr="00590E99">
              <w:rPr>
                <w:rFonts w:ascii="Arial" w:eastAsia="Arial" w:hAnsi="Arial" w:cs="Arial"/>
                <w:b/>
                <w:i/>
                <w:kern w:val="0"/>
                <w:sz w:val="22"/>
                <w:szCs w:val="22"/>
                <w:lang w:eastAsia="es-MX"/>
                <w14:ligatures w14:val="none"/>
              </w:rPr>
              <w:t>i</w:t>
            </w:r>
            <w:r w:rsidRPr="00590E99">
              <w:rPr>
                <w:rFonts w:ascii="Arial" w:eastAsia="Arial" w:hAnsi="Arial" w:cs="Arial"/>
                <w:b/>
                <w:kern w:val="0"/>
                <w:sz w:val="22"/>
                <w:szCs w:val="22"/>
                <w:lang w:eastAsia="es-MX"/>
                <w14:ligatures w14:val="none"/>
              </w:rPr>
              <w:t xml:space="preserve">) Refinanciamiento y/o Reestructura. </w:t>
            </w:r>
            <w:r w:rsidRPr="00590E99">
              <w:rPr>
                <w:rFonts w:ascii="Arial" w:eastAsia="Arial" w:hAnsi="Arial" w:cs="Arial"/>
                <w:kern w:val="0"/>
                <w:sz w:val="22"/>
                <w:szCs w:val="22"/>
                <w:lang w:eastAsia="es-MX"/>
                <w14:ligatures w14:val="none"/>
              </w:rPr>
              <w:t>El Monto del Refinanciamiento y/o Reestructura es de hasta $4,879,226,484.00 (cuatro mil ochocientos setenta y nueve millones doscientos veintiséis mil cuatrocientos ochenta y cuatro pesos 00/100 M.N.) o el importe que refleje el saldo insoluto de los Créditos Vigentes al momento en que surtan efectos los contratos o convenios que al efecto se formalicen.</w:t>
            </w:r>
          </w:p>
          <w:p w14:paraId="3356C2B1" w14:textId="77777777" w:rsidR="004153C7" w:rsidRPr="00590E99" w:rsidRDefault="00000000" w:rsidP="004153C7">
            <w:pPr>
              <w:widowControl w:val="0"/>
              <w:spacing w:before="240" w:after="0" w:line="276" w:lineRule="auto"/>
              <w:jc w:val="both"/>
              <w:rPr>
                <w:rFonts w:ascii="Arial" w:eastAsia="Arial" w:hAnsi="Arial" w:cs="Arial"/>
                <w:kern w:val="0"/>
                <w:sz w:val="22"/>
                <w:szCs w:val="22"/>
                <w:lang w:eastAsia="es-MX"/>
                <w14:ligatures w14:val="none"/>
              </w:rPr>
            </w:pPr>
            <w:r w:rsidRPr="00590E99">
              <w:rPr>
                <w:rFonts w:ascii="Arial" w:eastAsia="Arial" w:hAnsi="Arial" w:cs="Arial"/>
                <w:b/>
                <w:kern w:val="0"/>
                <w:sz w:val="22"/>
                <w:szCs w:val="22"/>
                <w:lang w:eastAsia="es-MX"/>
                <w14:ligatures w14:val="none"/>
              </w:rPr>
              <w:t>(</w:t>
            </w:r>
            <w:r w:rsidRPr="00590E99">
              <w:rPr>
                <w:rFonts w:ascii="Arial" w:eastAsia="Arial" w:hAnsi="Arial" w:cs="Arial"/>
                <w:b/>
                <w:i/>
                <w:kern w:val="0"/>
                <w:sz w:val="22"/>
                <w:szCs w:val="22"/>
                <w:lang w:eastAsia="es-MX"/>
                <w14:ligatures w14:val="none"/>
              </w:rPr>
              <w:t>ii</w:t>
            </w:r>
            <w:r w:rsidRPr="00590E99">
              <w:rPr>
                <w:rFonts w:ascii="Arial" w:eastAsia="Arial" w:hAnsi="Arial" w:cs="Arial"/>
                <w:b/>
                <w:kern w:val="0"/>
                <w:sz w:val="22"/>
                <w:szCs w:val="22"/>
                <w:lang w:eastAsia="es-MX"/>
                <w14:ligatures w14:val="none"/>
              </w:rPr>
              <w:t xml:space="preserve">) Nuevo Financiamiento. </w:t>
            </w:r>
            <w:r w:rsidRPr="00590E99">
              <w:rPr>
                <w:rFonts w:ascii="Arial" w:eastAsia="Arial" w:hAnsi="Arial" w:cs="Arial"/>
                <w:kern w:val="0"/>
                <w:sz w:val="22"/>
                <w:szCs w:val="22"/>
                <w:lang w:eastAsia="es-MX"/>
                <w14:ligatures w14:val="none"/>
              </w:rPr>
              <w:t xml:space="preserve">El Monto del Nuevo Financiamiento es </w:t>
            </w:r>
            <w:r w:rsidRPr="00590E99">
              <w:rPr>
                <w:rFonts w:ascii="Arial" w:eastAsia="Arial" w:hAnsi="Arial" w:cs="Arial"/>
                <w:kern w:val="0"/>
                <w:sz w:val="22"/>
                <w:szCs w:val="22"/>
                <w:lang w:eastAsia="es-MX"/>
                <w14:ligatures w14:val="none"/>
              </w:rPr>
              <w:lastRenderedPageBreak/>
              <w:t>de hasta $1,934,000,000.00 (un mil novecientos treinta y cuatro millones de pesos 00/100 M.N. El Monto del Nuevo Financiamiento se destinará a la inversión público productiva en términos del (a) rubro 556 (</w:t>
            </w:r>
            <w:r w:rsidRPr="00590E99">
              <w:rPr>
                <w:rFonts w:ascii="Arial" w:eastAsia="Arial" w:hAnsi="Arial" w:cs="Arial"/>
                <w:i/>
                <w:kern w:val="0"/>
                <w:sz w:val="22"/>
                <w:szCs w:val="22"/>
                <w:lang w:eastAsia="es-MX"/>
                <w14:ligatures w14:val="none"/>
              </w:rPr>
              <w:t>Equipos de generación eléctrica, aparatos y accesorios eléctricos</w:t>
            </w:r>
            <w:r w:rsidRPr="00590E99">
              <w:rPr>
                <w:rFonts w:ascii="Arial" w:eastAsia="Arial" w:hAnsi="Arial" w:cs="Arial"/>
                <w:kern w:val="0"/>
                <w:sz w:val="22"/>
                <w:szCs w:val="22"/>
                <w:lang w:eastAsia="es-MX"/>
                <w14:ligatures w14:val="none"/>
              </w:rPr>
              <w:t>) por un monto de hasta $80,500,000.00 M.N., que será destinado a los equipamientos de centrales operativas y laboratorio; y (b) rubro 623 (</w:t>
            </w:r>
            <w:r w:rsidRPr="00590E99">
              <w:rPr>
                <w:rFonts w:ascii="Arial" w:eastAsia="Arial" w:hAnsi="Arial" w:cs="Arial"/>
                <w:i/>
                <w:kern w:val="0"/>
                <w:sz w:val="22"/>
                <w:szCs w:val="22"/>
                <w:lang w:eastAsia="es-MX"/>
                <w14:ligatures w14:val="none"/>
              </w:rPr>
              <w:t>Construcción de obras para el abastecimiento de agua, petróleo, gas, electricidad y telecomunicaciones</w:t>
            </w:r>
            <w:r w:rsidRPr="00590E99">
              <w:rPr>
                <w:rFonts w:ascii="Arial" w:eastAsia="Arial" w:hAnsi="Arial" w:cs="Arial"/>
                <w:kern w:val="0"/>
                <w:sz w:val="22"/>
                <w:szCs w:val="22"/>
                <w:lang w:eastAsia="es-MX"/>
                <w14:ligatures w14:val="none"/>
              </w:rPr>
              <w:t>) por un monto total de hasta $1,853,500,000.00 M.N., que se destinará (1) un monto de hasta $80,500,000.00 M.N. a la Construcción y obras complementarias de Centrales Operativas y Laboratorio; (2) un monto de hasta $498,000,000.00 M.N. para la Rehabilitación Tuberías y Drenaje, Colectores y Redes de Alcantarillado; y (3) un monto de hasta $1,275,000,000.00 M.N. para Monterrey V Rehabilitación y Ampliación del Anillo de Transferencia II; lo anterior en términos del señalado en el artículo 4 de la Ley de Ingresos.</w:t>
            </w:r>
          </w:p>
        </w:tc>
      </w:tr>
      <w:tr w:rsidR="00DA57A7" w14:paraId="638DF4C1" w14:textId="77777777" w:rsidTr="00F97D5C">
        <w:trPr>
          <w:trHeight w:val="1168"/>
        </w:trPr>
        <w:tc>
          <w:tcPr>
            <w:tcW w:w="0" w:type="auto"/>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96BBA98" w14:textId="77777777" w:rsidR="00590E99" w:rsidRPr="00590E99" w:rsidRDefault="00000000" w:rsidP="00590E99">
            <w:pPr>
              <w:spacing w:after="0" w:line="276" w:lineRule="auto"/>
              <w:jc w:val="both"/>
              <w:rPr>
                <w:rFonts w:ascii="Arial" w:eastAsia="Arial" w:hAnsi="Arial" w:cs="Arial"/>
                <w:kern w:val="0"/>
                <w:sz w:val="22"/>
                <w:szCs w:val="22"/>
                <w:lang w:eastAsia="es-MX"/>
                <w14:ligatures w14:val="none"/>
              </w:rPr>
            </w:pPr>
            <w:r w:rsidRPr="00590E99">
              <w:rPr>
                <w:rFonts w:ascii="Arial" w:eastAsia="Arial" w:hAnsi="Arial" w:cs="Arial"/>
                <w:kern w:val="0"/>
                <w:sz w:val="22"/>
                <w:szCs w:val="22"/>
                <w:lang w:eastAsia="es-MX"/>
                <w14:ligatures w14:val="none"/>
              </w:rPr>
              <w:t>Monto de las Ofertas:</w:t>
            </w:r>
          </w:p>
        </w:tc>
        <w:tc>
          <w:tcPr>
            <w:tcW w:w="0" w:type="auto"/>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4E2523A" w14:textId="77777777" w:rsidR="00590E99" w:rsidRPr="00590E99" w:rsidRDefault="00000000" w:rsidP="00590E99">
            <w:pPr>
              <w:widowControl w:val="0"/>
              <w:spacing w:after="240" w:line="276" w:lineRule="auto"/>
              <w:jc w:val="both"/>
              <w:rPr>
                <w:rFonts w:ascii="Arial" w:eastAsia="Arial" w:hAnsi="Arial" w:cs="Arial"/>
                <w:kern w:val="0"/>
                <w:sz w:val="22"/>
                <w:szCs w:val="22"/>
                <w:lang w:eastAsia="es-MX"/>
                <w14:ligatures w14:val="none"/>
              </w:rPr>
            </w:pPr>
            <w:r w:rsidRPr="00590E99">
              <w:rPr>
                <w:rFonts w:ascii="Arial" w:eastAsia="Arial" w:hAnsi="Arial" w:cs="Arial"/>
                <w:kern w:val="0"/>
                <w:sz w:val="22"/>
                <w:szCs w:val="22"/>
                <w:lang w:eastAsia="es-MX"/>
                <w14:ligatures w14:val="none"/>
              </w:rPr>
              <w:t>Las Instituciones Financieras deberán presentar sus ofertas por escrito (cada una, una “</w:t>
            </w:r>
            <w:r w:rsidRPr="00590E99">
              <w:rPr>
                <w:rFonts w:ascii="Arial" w:eastAsia="Arial" w:hAnsi="Arial" w:cs="Arial"/>
                <w:kern w:val="0"/>
                <w:sz w:val="22"/>
                <w:szCs w:val="22"/>
                <w:u w:val="single"/>
                <w:lang w:eastAsia="es-MX"/>
                <w14:ligatures w14:val="none"/>
              </w:rPr>
              <w:t>Oferta</w:t>
            </w:r>
            <w:r w:rsidRPr="00590E99">
              <w:rPr>
                <w:rFonts w:ascii="Arial" w:eastAsia="Arial" w:hAnsi="Arial" w:cs="Arial"/>
                <w:kern w:val="0"/>
                <w:sz w:val="22"/>
                <w:szCs w:val="22"/>
                <w:lang w:eastAsia="es-MX"/>
                <w14:ligatures w14:val="none"/>
              </w:rPr>
              <w:t>”) indicando el destino al que corresponden; es decir, indicando si la Oferta es para (i) Refinanciamiento y/o Reestructura o (ii) Nuevo Financiamiento.</w:t>
            </w:r>
          </w:p>
          <w:p w14:paraId="59796252" w14:textId="77777777" w:rsidR="00590E99" w:rsidRPr="00590E99" w:rsidRDefault="00000000" w:rsidP="00590E99">
            <w:pPr>
              <w:widowControl w:val="0"/>
              <w:spacing w:after="0" w:line="276" w:lineRule="auto"/>
              <w:ind w:right="80"/>
              <w:jc w:val="both"/>
              <w:rPr>
                <w:rFonts w:ascii="Arial" w:eastAsia="Arial" w:hAnsi="Arial" w:cs="Arial"/>
                <w:kern w:val="0"/>
                <w:sz w:val="22"/>
                <w:szCs w:val="22"/>
                <w:lang w:eastAsia="es-MX"/>
                <w14:ligatures w14:val="none"/>
              </w:rPr>
            </w:pPr>
            <w:r w:rsidRPr="00590E99">
              <w:rPr>
                <w:rFonts w:ascii="Arial" w:eastAsia="Arial" w:hAnsi="Arial" w:cs="Arial"/>
                <w:kern w:val="0"/>
                <w:sz w:val="22"/>
                <w:szCs w:val="22"/>
                <w:lang w:eastAsia="es-MX"/>
                <w14:ligatures w14:val="none"/>
              </w:rPr>
              <w:t>Las Instituciones Financieras podrán presentar Ofertas para un solo destino o para ambos destinos, siempre indicando en cada Oferta el destino que le corresponde.</w:t>
            </w:r>
          </w:p>
          <w:p w14:paraId="20BDC92B" w14:textId="77777777" w:rsidR="00590E99" w:rsidRPr="00590E99" w:rsidRDefault="00000000" w:rsidP="00590E99">
            <w:pPr>
              <w:widowControl w:val="0"/>
              <w:spacing w:after="0" w:line="276" w:lineRule="auto"/>
              <w:ind w:left="720" w:right="80"/>
              <w:jc w:val="both"/>
              <w:rPr>
                <w:rFonts w:ascii="Arial" w:eastAsia="Arial" w:hAnsi="Arial" w:cs="Arial"/>
                <w:kern w:val="0"/>
                <w:sz w:val="22"/>
                <w:szCs w:val="22"/>
                <w:lang w:eastAsia="es-MX"/>
                <w14:ligatures w14:val="none"/>
              </w:rPr>
            </w:pPr>
            <w:r w:rsidRPr="00590E99">
              <w:rPr>
                <w:rFonts w:ascii="Arial" w:eastAsia="Arial" w:hAnsi="Arial" w:cs="Arial"/>
                <w:kern w:val="0"/>
                <w:sz w:val="22"/>
                <w:szCs w:val="22"/>
                <w:lang w:eastAsia="es-MX"/>
                <w14:ligatures w14:val="none"/>
              </w:rPr>
              <w:t xml:space="preserve"> </w:t>
            </w:r>
          </w:p>
          <w:p w14:paraId="2BDB473F" w14:textId="77777777" w:rsidR="00590E99" w:rsidRPr="00590E99" w:rsidRDefault="00000000" w:rsidP="00590E99">
            <w:pPr>
              <w:widowControl w:val="0"/>
              <w:spacing w:after="0" w:line="276" w:lineRule="auto"/>
              <w:ind w:right="80"/>
              <w:jc w:val="both"/>
              <w:rPr>
                <w:rFonts w:ascii="Arial" w:eastAsia="Arial" w:hAnsi="Arial" w:cs="Arial"/>
                <w:kern w:val="0"/>
                <w:sz w:val="22"/>
                <w:szCs w:val="22"/>
                <w:lang w:eastAsia="es-MX"/>
                <w14:ligatures w14:val="none"/>
              </w:rPr>
            </w:pPr>
            <w:r w:rsidRPr="00590E99">
              <w:rPr>
                <w:rFonts w:ascii="Arial" w:eastAsia="Arial" w:hAnsi="Arial" w:cs="Arial"/>
                <w:kern w:val="0"/>
                <w:sz w:val="22"/>
                <w:szCs w:val="22"/>
                <w:lang w:eastAsia="es-MX"/>
                <w14:ligatures w14:val="none"/>
              </w:rPr>
              <w:t>Asimismo, las Instituciones Financieras podrán optar por presentar una única Oferta o bien múltiples Ofertas para cada uno de los destinos.</w:t>
            </w:r>
          </w:p>
          <w:p w14:paraId="16490073" w14:textId="77777777" w:rsidR="00590E99" w:rsidRPr="00590E99" w:rsidRDefault="00000000" w:rsidP="00590E99">
            <w:pPr>
              <w:widowControl w:val="0"/>
              <w:spacing w:after="0" w:line="276" w:lineRule="auto"/>
              <w:ind w:left="720" w:right="80"/>
              <w:jc w:val="both"/>
              <w:rPr>
                <w:rFonts w:ascii="Arial" w:eastAsia="Arial" w:hAnsi="Arial" w:cs="Arial"/>
                <w:kern w:val="0"/>
                <w:sz w:val="22"/>
                <w:szCs w:val="22"/>
                <w:lang w:eastAsia="es-MX"/>
                <w14:ligatures w14:val="none"/>
              </w:rPr>
            </w:pPr>
            <w:r w:rsidRPr="00590E99">
              <w:rPr>
                <w:rFonts w:ascii="Arial" w:eastAsia="Arial" w:hAnsi="Arial" w:cs="Arial"/>
                <w:kern w:val="0"/>
                <w:sz w:val="22"/>
                <w:szCs w:val="22"/>
                <w:lang w:eastAsia="es-MX"/>
                <w14:ligatures w14:val="none"/>
              </w:rPr>
              <w:t xml:space="preserve"> </w:t>
            </w:r>
          </w:p>
          <w:p w14:paraId="09A2F6F9" w14:textId="77777777" w:rsidR="00590E99" w:rsidRPr="00590E99" w:rsidRDefault="00000000" w:rsidP="00590E99">
            <w:pPr>
              <w:widowControl w:val="0"/>
              <w:spacing w:after="0" w:line="276" w:lineRule="auto"/>
              <w:ind w:right="80"/>
              <w:jc w:val="both"/>
              <w:rPr>
                <w:rFonts w:ascii="Arial" w:eastAsia="Arial" w:hAnsi="Arial" w:cs="Arial"/>
                <w:kern w:val="0"/>
                <w:sz w:val="22"/>
                <w:szCs w:val="22"/>
                <w:lang w:eastAsia="es-MX"/>
                <w14:ligatures w14:val="none"/>
              </w:rPr>
            </w:pPr>
            <w:r w:rsidRPr="00590E99">
              <w:rPr>
                <w:rFonts w:ascii="Arial" w:eastAsia="Arial" w:hAnsi="Arial" w:cs="Arial"/>
                <w:kern w:val="0"/>
                <w:sz w:val="22"/>
                <w:szCs w:val="22"/>
                <w:lang w:eastAsia="es-MX"/>
                <w14:ligatures w14:val="none"/>
              </w:rPr>
              <w:t xml:space="preserve">En caso de que una misma Institución Financiera presente múltiples Ofertas para uno de los destinos, la Institución Financiera deberá señalar el monto máximo de exposición aplicable, mismo que SADM utilizará para efectos de determinar las Ofertas, en su caso, que resultarán ganadoras. </w:t>
            </w:r>
          </w:p>
          <w:p w14:paraId="4BE974F7" w14:textId="77777777" w:rsidR="00590E99" w:rsidRPr="00590E99" w:rsidRDefault="00000000" w:rsidP="00590E99">
            <w:pPr>
              <w:widowControl w:val="0"/>
              <w:spacing w:before="240" w:after="240" w:line="276" w:lineRule="auto"/>
              <w:jc w:val="both"/>
              <w:rPr>
                <w:rFonts w:ascii="Arial" w:eastAsia="Arial" w:hAnsi="Arial" w:cs="Arial"/>
                <w:kern w:val="0"/>
                <w:sz w:val="22"/>
                <w:szCs w:val="22"/>
                <w:lang w:eastAsia="es-MX"/>
                <w14:ligatures w14:val="none"/>
              </w:rPr>
            </w:pPr>
            <w:r w:rsidRPr="00590E99">
              <w:rPr>
                <w:rFonts w:ascii="Arial" w:eastAsia="Arial" w:hAnsi="Arial" w:cs="Arial"/>
                <w:kern w:val="0"/>
                <w:sz w:val="22"/>
                <w:szCs w:val="22"/>
                <w:lang w:eastAsia="es-MX"/>
                <w14:ligatures w14:val="none"/>
              </w:rPr>
              <w:t xml:space="preserve">El monto máximo de exposición de cada Institución Financiera por el total de las Ofertas que presente no podrá ser superior al Monto Total del Financiamiento, en el entendido que el monto máximo de </w:t>
            </w:r>
            <w:r w:rsidRPr="00590E99">
              <w:rPr>
                <w:rFonts w:ascii="Arial" w:eastAsia="Arial" w:hAnsi="Arial" w:cs="Arial"/>
                <w:kern w:val="0"/>
                <w:sz w:val="22"/>
                <w:szCs w:val="22"/>
                <w:lang w:eastAsia="es-MX"/>
                <w14:ligatures w14:val="none"/>
              </w:rPr>
              <w:lastRenderedPageBreak/>
              <w:t>exposición para las Ofertas presentadas por cada Institución Financiera a su vez respetará tanto el Monto del Refinanciamiento y/o Reestructura como el Monto del Nuevo Financiamiento. Por lo anterior, el monto máximo de exposición de las Ofertas presentadas por una misma Institución Financiera para el destino de Refinanciamiento y/o Reestructura no podrá exceder del Monto de Refinanciamiento y/o Reestructura y el monto máximo de exposición de las Ofertas presentadas por dicha Institución Financiera para el destino de Nuevo Financiamiento no podrán exceder el Monto del Nuevo Financiamiento.</w:t>
            </w:r>
          </w:p>
          <w:p w14:paraId="5638FEA5" w14:textId="17DCB5F9" w:rsidR="00590E99" w:rsidRPr="00590E99" w:rsidRDefault="00000000" w:rsidP="00590E99">
            <w:pPr>
              <w:widowControl w:val="0"/>
              <w:spacing w:before="240" w:after="0" w:line="276" w:lineRule="auto"/>
              <w:jc w:val="both"/>
              <w:rPr>
                <w:rFonts w:ascii="Arial" w:eastAsia="Arial" w:hAnsi="Arial" w:cs="Arial"/>
                <w:kern w:val="0"/>
                <w:sz w:val="22"/>
                <w:szCs w:val="22"/>
                <w:lang w:eastAsia="es-MX"/>
                <w14:ligatures w14:val="none"/>
              </w:rPr>
            </w:pPr>
            <w:r w:rsidRPr="00590E99">
              <w:rPr>
                <w:rFonts w:ascii="Arial" w:eastAsia="Arial" w:hAnsi="Arial" w:cs="Arial"/>
                <w:kern w:val="0"/>
                <w:sz w:val="22"/>
                <w:szCs w:val="22"/>
                <w:lang w:eastAsia="es-MX"/>
                <w14:ligatures w14:val="none"/>
              </w:rPr>
              <w:t xml:space="preserve">Con independencia del destino indicado por una Institución Financiera para sus Ofertas, el monto mínimo para presentar una Oferta es de </w:t>
            </w:r>
            <w:r w:rsidR="006E2200" w:rsidRPr="00590E99">
              <w:rPr>
                <w:rFonts w:ascii="Arial" w:eastAsia="Arial" w:hAnsi="Arial" w:cs="Arial"/>
                <w:kern w:val="0"/>
                <w:sz w:val="22"/>
                <w:szCs w:val="22"/>
                <w:lang w:eastAsia="es-MX"/>
                <w14:ligatures w14:val="none"/>
              </w:rPr>
              <w:t>$500,000,000.00 (quinientos millones de pesos 00/100 M.N.) (“</w:t>
            </w:r>
            <w:r w:rsidR="006E2200" w:rsidRPr="00590E99">
              <w:rPr>
                <w:rFonts w:ascii="Arial" w:eastAsia="Arial" w:hAnsi="Arial" w:cs="Arial"/>
                <w:kern w:val="0"/>
                <w:sz w:val="22"/>
                <w:szCs w:val="22"/>
                <w:u w:val="single"/>
                <w:lang w:eastAsia="es-MX"/>
                <w14:ligatures w14:val="none"/>
              </w:rPr>
              <w:t>Monto Mínimo</w:t>
            </w:r>
            <w:r w:rsidR="006E2200" w:rsidRPr="00590E99">
              <w:rPr>
                <w:rFonts w:ascii="Arial" w:eastAsia="Arial" w:hAnsi="Arial" w:cs="Arial"/>
                <w:kern w:val="0"/>
                <w:sz w:val="22"/>
                <w:szCs w:val="22"/>
                <w:lang w:eastAsia="es-MX"/>
                <w14:ligatures w14:val="none"/>
              </w:rPr>
              <w:t>”</w:t>
            </w:r>
            <w:r w:rsidR="00D12793">
              <w:rPr>
                <w:rFonts w:ascii="Arial" w:eastAsia="Arial" w:hAnsi="Arial" w:cs="Arial"/>
                <w:kern w:val="0"/>
                <w:sz w:val="22"/>
                <w:szCs w:val="22"/>
                <w:lang w:eastAsia="es-MX"/>
                <w14:ligatures w14:val="none"/>
              </w:rPr>
              <w:t>)</w:t>
            </w:r>
            <w:r w:rsidRPr="00590E99">
              <w:rPr>
                <w:rFonts w:ascii="Arial" w:eastAsia="Arial" w:hAnsi="Arial" w:cs="Arial"/>
                <w:kern w:val="0"/>
                <w:sz w:val="22"/>
                <w:szCs w:val="22"/>
                <w:lang w:eastAsia="es-MX"/>
                <w14:ligatures w14:val="none"/>
              </w:rPr>
              <w:t>.</w:t>
            </w:r>
          </w:p>
        </w:tc>
      </w:tr>
      <w:tr w:rsidR="00DA57A7" w14:paraId="3FB60462" w14:textId="77777777" w:rsidTr="00F97D5C">
        <w:trPr>
          <w:trHeight w:val="4351"/>
        </w:trPr>
        <w:tc>
          <w:tcPr>
            <w:tcW w:w="0" w:type="auto"/>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7F370C5" w14:textId="77777777" w:rsidR="00590E99" w:rsidRPr="00590E99" w:rsidRDefault="00000000" w:rsidP="00590E99">
            <w:pPr>
              <w:spacing w:after="0" w:line="276" w:lineRule="auto"/>
              <w:jc w:val="both"/>
              <w:rPr>
                <w:rFonts w:ascii="Arial" w:eastAsia="Arial" w:hAnsi="Arial" w:cs="Arial"/>
                <w:kern w:val="0"/>
                <w:sz w:val="22"/>
                <w:szCs w:val="22"/>
                <w:lang w:eastAsia="es-MX"/>
                <w14:ligatures w14:val="none"/>
              </w:rPr>
            </w:pPr>
            <w:r w:rsidRPr="00590E99">
              <w:rPr>
                <w:rFonts w:ascii="Arial" w:eastAsia="Arial" w:hAnsi="Arial" w:cs="Arial"/>
                <w:kern w:val="0"/>
                <w:sz w:val="22"/>
                <w:szCs w:val="22"/>
                <w:lang w:eastAsia="es-MX"/>
                <w14:ligatures w14:val="none"/>
              </w:rPr>
              <w:t>Plazo:</w:t>
            </w:r>
          </w:p>
        </w:tc>
        <w:tc>
          <w:tcPr>
            <w:tcW w:w="0" w:type="auto"/>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13A1B8C" w14:textId="77777777" w:rsidR="00590E99" w:rsidRPr="00590E99" w:rsidRDefault="00000000" w:rsidP="00590E99">
            <w:pPr>
              <w:widowControl w:val="0"/>
              <w:spacing w:after="240" w:line="276" w:lineRule="auto"/>
              <w:jc w:val="both"/>
              <w:rPr>
                <w:rFonts w:ascii="Arial" w:eastAsia="Arial" w:hAnsi="Arial" w:cs="Arial"/>
                <w:kern w:val="0"/>
                <w:sz w:val="22"/>
                <w:szCs w:val="22"/>
                <w:lang w:eastAsia="es-MX"/>
                <w14:ligatures w14:val="none"/>
              </w:rPr>
            </w:pPr>
            <w:r w:rsidRPr="00590E99">
              <w:rPr>
                <w:rFonts w:ascii="Arial" w:eastAsia="Arial" w:hAnsi="Arial" w:cs="Arial"/>
                <w:kern w:val="0"/>
                <w:sz w:val="22"/>
                <w:szCs w:val="22"/>
                <w:lang w:eastAsia="es-MX"/>
                <w14:ligatures w14:val="none"/>
              </w:rPr>
              <w:t>La Licitación Pública corresponde a un proceso competitivo flexible, por lo que las Instituciones Financieras participantes podrán presentar una o más Ofertas que consideren alguno de los siguientes plazos de pago, contados a partir de la fecha de firma del Contrato de Crédito respectivo:</w:t>
            </w:r>
          </w:p>
          <w:p w14:paraId="1D3F8581" w14:textId="77777777" w:rsidR="00590E99" w:rsidRPr="00590E99" w:rsidRDefault="00000000" w:rsidP="00590E99">
            <w:pPr>
              <w:widowControl w:val="0"/>
              <w:spacing w:before="240" w:after="240" w:line="276" w:lineRule="auto"/>
              <w:jc w:val="both"/>
              <w:rPr>
                <w:rFonts w:ascii="Arial" w:eastAsia="Arial" w:hAnsi="Arial" w:cs="Arial"/>
                <w:kern w:val="0"/>
                <w:sz w:val="22"/>
                <w:szCs w:val="22"/>
                <w:lang w:eastAsia="es-MX"/>
                <w14:ligatures w14:val="none"/>
              </w:rPr>
            </w:pPr>
            <w:r w:rsidRPr="00590E99">
              <w:rPr>
                <w:rFonts w:ascii="Arial" w:eastAsia="Arial" w:hAnsi="Arial" w:cs="Arial"/>
                <w:kern w:val="0"/>
                <w:sz w:val="22"/>
                <w:szCs w:val="22"/>
                <w:lang w:eastAsia="es-MX"/>
                <w14:ligatures w14:val="none"/>
              </w:rPr>
              <w:t>(i) hasta 15 (quince) años, equivalente a 180 (ciento ochenta) meses;</w:t>
            </w:r>
          </w:p>
          <w:p w14:paraId="28F16FD2" w14:textId="77777777" w:rsidR="00590E99" w:rsidRPr="00590E99" w:rsidRDefault="00000000" w:rsidP="00590E99">
            <w:pPr>
              <w:widowControl w:val="0"/>
              <w:spacing w:before="240" w:after="240" w:line="276" w:lineRule="auto"/>
              <w:jc w:val="both"/>
              <w:rPr>
                <w:rFonts w:ascii="Arial" w:eastAsia="Arial" w:hAnsi="Arial" w:cs="Arial"/>
                <w:kern w:val="0"/>
                <w:sz w:val="22"/>
                <w:szCs w:val="22"/>
                <w:lang w:eastAsia="es-MX"/>
                <w14:ligatures w14:val="none"/>
              </w:rPr>
            </w:pPr>
            <w:r w:rsidRPr="00590E99">
              <w:rPr>
                <w:rFonts w:ascii="Arial" w:eastAsia="Arial" w:hAnsi="Arial" w:cs="Arial"/>
                <w:kern w:val="0"/>
                <w:sz w:val="22"/>
                <w:szCs w:val="22"/>
                <w:lang w:eastAsia="es-MX"/>
                <w14:ligatures w14:val="none"/>
              </w:rPr>
              <w:t>(ii) hasta 20 (veinte) años, equivalente a 240 (doscientos cuarenta) meses; y</w:t>
            </w:r>
          </w:p>
          <w:p w14:paraId="515B897B" w14:textId="77777777" w:rsidR="00590E99" w:rsidRPr="00590E99" w:rsidRDefault="00000000" w:rsidP="00590E99">
            <w:pPr>
              <w:widowControl w:val="0"/>
              <w:spacing w:before="240" w:after="0" w:line="276" w:lineRule="auto"/>
              <w:jc w:val="both"/>
              <w:rPr>
                <w:rFonts w:ascii="Arial" w:eastAsia="Arial" w:hAnsi="Arial" w:cs="Arial"/>
                <w:kern w:val="0"/>
                <w:sz w:val="22"/>
                <w:szCs w:val="22"/>
                <w:lang w:eastAsia="es-MX"/>
                <w14:ligatures w14:val="none"/>
              </w:rPr>
            </w:pPr>
            <w:r w:rsidRPr="00590E99">
              <w:rPr>
                <w:rFonts w:ascii="Arial" w:eastAsia="Arial" w:hAnsi="Arial" w:cs="Arial"/>
                <w:kern w:val="0"/>
                <w:sz w:val="22"/>
                <w:szCs w:val="22"/>
                <w:lang w:eastAsia="es-MX"/>
                <w14:ligatures w14:val="none"/>
              </w:rPr>
              <w:t>(iii) hasta 25 (veinticinco) años, equivalente a 300 (trescientos) meses.</w:t>
            </w:r>
          </w:p>
        </w:tc>
      </w:tr>
      <w:tr w:rsidR="00DA57A7" w14:paraId="2A5FF67B" w14:textId="77777777" w:rsidTr="00F97D5C">
        <w:trPr>
          <w:trHeight w:val="898"/>
        </w:trPr>
        <w:tc>
          <w:tcPr>
            <w:tcW w:w="0" w:type="auto"/>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4D2EF21" w14:textId="77777777" w:rsidR="00590E99" w:rsidRPr="00590E99" w:rsidRDefault="00000000" w:rsidP="00590E99">
            <w:pPr>
              <w:spacing w:after="0" w:line="276" w:lineRule="auto"/>
              <w:jc w:val="both"/>
              <w:rPr>
                <w:rFonts w:ascii="Arial" w:eastAsia="Arial" w:hAnsi="Arial" w:cs="Arial"/>
                <w:kern w:val="0"/>
                <w:sz w:val="22"/>
                <w:szCs w:val="22"/>
                <w:lang w:eastAsia="es-MX"/>
                <w14:ligatures w14:val="none"/>
              </w:rPr>
            </w:pPr>
            <w:r w:rsidRPr="00590E99">
              <w:rPr>
                <w:rFonts w:ascii="Arial" w:eastAsia="Arial" w:hAnsi="Arial" w:cs="Arial"/>
                <w:kern w:val="0"/>
                <w:sz w:val="22"/>
                <w:szCs w:val="22"/>
                <w:lang w:eastAsia="es-MX"/>
                <w14:ligatures w14:val="none"/>
              </w:rPr>
              <w:t>Perfil de amortizaciones:</w:t>
            </w:r>
          </w:p>
        </w:tc>
        <w:tc>
          <w:tcPr>
            <w:tcW w:w="0" w:type="auto"/>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B2CA26C" w14:textId="77777777" w:rsidR="00590E99" w:rsidRPr="00590E99" w:rsidRDefault="00000000" w:rsidP="00590E99">
            <w:pPr>
              <w:widowControl w:val="0"/>
              <w:spacing w:after="0" w:line="276" w:lineRule="auto"/>
              <w:jc w:val="both"/>
              <w:rPr>
                <w:rFonts w:ascii="Arial" w:eastAsia="Arial" w:hAnsi="Arial" w:cs="Arial"/>
                <w:kern w:val="0"/>
                <w:sz w:val="22"/>
                <w:szCs w:val="22"/>
                <w:lang w:eastAsia="es-MX"/>
                <w14:ligatures w14:val="none"/>
              </w:rPr>
            </w:pPr>
            <w:r w:rsidRPr="00590E99">
              <w:rPr>
                <w:rFonts w:ascii="Arial" w:eastAsia="Arial" w:hAnsi="Arial" w:cs="Arial"/>
                <w:kern w:val="0"/>
                <w:sz w:val="22"/>
                <w:szCs w:val="22"/>
                <w:lang w:eastAsia="es-MX"/>
                <w14:ligatures w14:val="none"/>
              </w:rPr>
              <w:t xml:space="preserve">Las Ofertas deberán considerar pagos mensuales y crecientes, conforme la tabla de amortización que se acompaña como </w:t>
            </w:r>
            <w:r w:rsidRPr="00590E99">
              <w:rPr>
                <w:rFonts w:ascii="Arial" w:eastAsia="Arial" w:hAnsi="Arial" w:cs="Arial"/>
                <w:b/>
                <w:kern w:val="0"/>
                <w:sz w:val="22"/>
                <w:szCs w:val="22"/>
                <w:lang w:eastAsia="es-MX"/>
                <w14:ligatures w14:val="none"/>
              </w:rPr>
              <w:t>Anexo D</w:t>
            </w:r>
            <w:r w:rsidRPr="00590E99">
              <w:rPr>
                <w:rFonts w:ascii="Arial" w:eastAsia="Arial" w:hAnsi="Arial" w:cs="Arial"/>
                <w:kern w:val="0"/>
                <w:sz w:val="22"/>
                <w:szCs w:val="22"/>
                <w:lang w:eastAsia="es-MX"/>
                <w14:ligatures w14:val="none"/>
              </w:rPr>
              <w:t xml:space="preserve"> a las Bases de la Licitación.</w:t>
            </w:r>
          </w:p>
        </w:tc>
      </w:tr>
      <w:tr w:rsidR="00DA57A7" w14:paraId="52DE7B45" w14:textId="77777777" w:rsidTr="00F97D5C">
        <w:trPr>
          <w:trHeight w:val="375"/>
        </w:trPr>
        <w:tc>
          <w:tcPr>
            <w:tcW w:w="0" w:type="auto"/>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E7FA03B" w14:textId="77777777" w:rsidR="00590E99" w:rsidRPr="00590E99" w:rsidRDefault="00000000" w:rsidP="00590E99">
            <w:pPr>
              <w:spacing w:after="0" w:line="276" w:lineRule="auto"/>
              <w:jc w:val="both"/>
              <w:rPr>
                <w:rFonts w:ascii="Arial" w:eastAsia="Arial" w:hAnsi="Arial" w:cs="Arial"/>
                <w:kern w:val="0"/>
                <w:sz w:val="22"/>
                <w:szCs w:val="22"/>
                <w:lang w:eastAsia="es-MX"/>
                <w14:ligatures w14:val="none"/>
              </w:rPr>
            </w:pPr>
            <w:r w:rsidRPr="00590E99">
              <w:rPr>
                <w:rFonts w:ascii="Arial" w:eastAsia="Arial" w:hAnsi="Arial" w:cs="Arial"/>
                <w:kern w:val="0"/>
                <w:sz w:val="22"/>
                <w:szCs w:val="22"/>
                <w:lang w:eastAsia="es-MX"/>
                <w14:ligatures w14:val="none"/>
              </w:rPr>
              <w:t>Periodo de gracia:</w:t>
            </w:r>
          </w:p>
        </w:tc>
        <w:tc>
          <w:tcPr>
            <w:tcW w:w="0" w:type="auto"/>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132BF37" w14:textId="77777777" w:rsidR="00590E99" w:rsidRPr="00590E99" w:rsidRDefault="00000000" w:rsidP="00590E99">
            <w:pPr>
              <w:spacing w:after="0" w:line="276" w:lineRule="auto"/>
              <w:jc w:val="both"/>
              <w:rPr>
                <w:rFonts w:ascii="Arial" w:eastAsia="Arial" w:hAnsi="Arial" w:cs="Arial"/>
                <w:kern w:val="0"/>
                <w:sz w:val="22"/>
                <w:szCs w:val="22"/>
                <w:lang w:eastAsia="es-MX"/>
                <w14:ligatures w14:val="none"/>
              </w:rPr>
            </w:pPr>
            <w:r w:rsidRPr="00590E99">
              <w:rPr>
                <w:rFonts w:ascii="Arial" w:eastAsia="Arial" w:hAnsi="Arial" w:cs="Arial"/>
                <w:kern w:val="0"/>
                <w:sz w:val="22"/>
                <w:szCs w:val="22"/>
                <w:lang w:eastAsia="es-MX"/>
                <w14:ligatures w14:val="none"/>
              </w:rPr>
              <w:t>Sin periodo de gracia.</w:t>
            </w:r>
          </w:p>
        </w:tc>
      </w:tr>
      <w:tr w:rsidR="00DA57A7" w14:paraId="239D60F4" w14:textId="77777777" w:rsidTr="00F97D5C">
        <w:trPr>
          <w:trHeight w:val="8532"/>
        </w:trPr>
        <w:tc>
          <w:tcPr>
            <w:tcW w:w="0" w:type="auto"/>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C2BDB2F" w14:textId="77777777" w:rsidR="00590E99" w:rsidRPr="00590E99" w:rsidRDefault="00000000" w:rsidP="00590E99">
            <w:pPr>
              <w:spacing w:after="0" w:line="276" w:lineRule="auto"/>
              <w:jc w:val="both"/>
              <w:rPr>
                <w:rFonts w:ascii="Arial" w:eastAsia="Arial" w:hAnsi="Arial" w:cs="Arial"/>
                <w:kern w:val="0"/>
                <w:sz w:val="22"/>
                <w:szCs w:val="22"/>
                <w:lang w:eastAsia="es-MX"/>
                <w14:ligatures w14:val="none"/>
              </w:rPr>
            </w:pPr>
            <w:r w:rsidRPr="00590E99">
              <w:rPr>
                <w:rFonts w:ascii="Arial" w:eastAsia="Arial" w:hAnsi="Arial" w:cs="Arial"/>
                <w:kern w:val="0"/>
                <w:sz w:val="22"/>
                <w:szCs w:val="22"/>
                <w:lang w:eastAsia="es-MX"/>
                <w14:ligatures w14:val="none"/>
              </w:rPr>
              <w:lastRenderedPageBreak/>
              <w:t>Tasa e interés:</w:t>
            </w:r>
          </w:p>
          <w:p w14:paraId="79848119" w14:textId="77777777" w:rsidR="00590E99" w:rsidRPr="00590E99" w:rsidRDefault="00590E99" w:rsidP="00590E99">
            <w:pPr>
              <w:spacing w:after="0" w:line="276" w:lineRule="auto"/>
              <w:jc w:val="both"/>
              <w:rPr>
                <w:rFonts w:ascii="Arial" w:eastAsia="Arial" w:hAnsi="Arial" w:cs="Arial"/>
                <w:kern w:val="0"/>
                <w:sz w:val="22"/>
                <w:szCs w:val="22"/>
                <w:lang w:eastAsia="es-MX"/>
                <w14:ligatures w14:val="none"/>
              </w:rPr>
            </w:pPr>
          </w:p>
          <w:p w14:paraId="6B5992EA" w14:textId="77777777" w:rsidR="00590E99" w:rsidRPr="00590E99" w:rsidRDefault="00590E99" w:rsidP="00590E99">
            <w:pPr>
              <w:spacing w:after="0" w:line="276" w:lineRule="auto"/>
              <w:jc w:val="both"/>
              <w:rPr>
                <w:rFonts w:ascii="Arial" w:eastAsia="Arial" w:hAnsi="Arial" w:cs="Arial"/>
                <w:kern w:val="0"/>
                <w:sz w:val="22"/>
                <w:szCs w:val="22"/>
                <w:lang w:eastAsia="es-MX"/>
                <w14:ligatures w14:val="none"/>
              </w:rPr>
            </w:pPr>
          </w:p>
          <w:p w14:paraId="66661E81" w14:textId="77777777" w:rsidR="00590E99" w:rsidRPr="00590E99" w:rsidRDefault="00590E99" w:rsidP="00590E99">
            <w:pPr>
              <w:spacing w:after="0" w:line="276" w:lineRule="auto"/>
              <w:jc w:val="both"/>
              <w:rPr>
                <w:rFonts w:ascii="Arial" w:eastAsia="Arial" w:hAnsi="Arial" w:cs="Arial"/>
                <w:kern w:val="0"/>
                <w:sz w:val="22"/>
                <w:szCs w:val="22"/>
                <w:lang w:eastAsia="es-MX"/>
                <w14:ligatures w14:val="none"/>
              </w:rPr>
            </w:pPr>
          </w:p>
          <w:p w14:paraId="76AD32AC" w14:textId="77777777" w:rsidR="00590E99" w:rsidRPr="00590E99" w:rsidRDefault="00590E99" w:rsidP="00590E99">
            <w:pPr>
              <w:spacing w:after="0" w:line="276" w:lineRule="auto"/>
              <w:jc w:val="both"/>
              <w:rPr>
                <w:rFonts w:ascii="Arial" w:eastAsia="Arial" w:hAnsi="Arial" w:cs="Arial"/>
                <w:kern w:val="0"/>
                <w:sz w:val="22"/>
                <w:szCs w:val="22"/>
                <w:lang w:eastAsia="es-MX"/>
                <w14:ligatures w14:val="none"/>
              </w:rPr>
            </w:pPr>
          </w:p>
          <w:p w14:paraId="6D7DDB54" w14:textId="77777777" w:rsidR="00590E99" w:rsidRPr="00590E99" w:rsidRDefault="00590E99" w:rsidP="00590E99">
            <w:pPr>
              <w:spacing w:after="0" w:line="276" w:lineRule="auto"/>
              <w:jc w:val="both"/>
              <w:rPr>
                <w:rFonts w:ascii="Arial" w:eastAsia="Arial" w:hAnsi="Arial" w:cs="Arial"/>
                <w:kern w:val="0"/>
                <w:sz w:val="22"/>
                <w:szCs w:val="22"/>
                <w:lang w:eastAsia="es-MX"/>
                <w14:ligatures w14:val="none"/>
              </w:rPr>
            </w:pPr>
          </w:p>
          <w:p w14:paraId="1054269F" w14:textId="77777777" w:rsidR="00590E99" w:rsidRPr="00590E99" w:rsidRDefault="00590E99" w:rsidP="00590E99">
            <w:pPr>
              <w:spacing w:after="0" w:line="276" w:lineRule="auto"/>
              <w:jc w:val="both"/>
              <w:rPr>
                <w:rFonts w:ascii="Arial" w:eastAsia="Arial" w:hAnsi="Arial" w:cs="Arial"/>
                <w:kern w:val="0"/>
                <w:sz w:val="22"/>
                <w:szCs w:val="22"/>
                <w:lang w:eastAsia="es-MX"/>
                <w14:ligatures w14:val="none"/>
              </w:rPr>
            </w:pPr>
          </w:p>
          <w:p w14:paraId="075A540B" w14:textId="77777777" w:rsidR="00590E99" w:rsidRPr="00590E99" w:rsidRDefault="00590E99" w:rsidP="00590E99">
            <w:pPr>
              <w:spacing w:after="0" w:line="276" w:lineRule="auto"/>
              <w:jc w:val="both"/>
              <w:rPr>
                <w:rFonts w:ascii="Arial" w:eastAsia="Arial" w:hAnsi="Arial" w:cs="Arial"/>
                <w:kern w:val="0"/>
                <w:sz w:val="22"/>
                <w:szCs w:val="22"/>
                <w:lang w:eastAsia="es-MX"/>
                <w14:ligatures w14:val="none"/>
              </w:rPr>
            </w:pPr>
          </w:p>
          <w:p w14:paraId="2F56D8E7" w14:textId="77777777" w:rsidR="00590E99" w:rsidRPr="00590E99" w:rsidRDefault="00590E99" w:rsidP="00590E99">
            <w:pPr>
              <w:spacing w:after="0" w:line="276" w:lineRule="auto"/>
              <w:jc w:val="both"/>
              <w:rPr>
                <w:rFonts w:ascii="Arial" w:eastAsia="Arial" w:hAnsi="Arial" w:cs="Arial"/>
                <w:kern w:val="0"/>
                <w:sz w:val="22"/>
                <w:szCs w:val="22"/>
                <w:lang w:eastAsia="es-MX"/>
                <w14:ligatures w14:val="none"/>
              </w:rPr>
            </w:pPr>
          </w:p>
          <w:p w14:paraId="31CBE485" w14:textId="77777777" w:rsidR="00590E99" w:rsidRPr="00590E99" w:rsidRDefault="00590E99" w:rsidP="00590E99">
            <w:pPr>
              <w:spacing w:after="0" w:line="276" w:lineRule="auto"/>
              <w:jc w:val="both"/>
              <w:rPr>
                <w:rFonts w:ascii="Arial" w:eastAsia="Arial" w:hAnsi="Arial" w:cs="Arial"/>
                <w:kern w:val="0"/>
                <w:sz w:val="22"/>
                <w:szCs w:val="22"/>
                <w:lang w:eastAsia="es-MX"/>
                <w14:ligatures w14:val="none"/>
              </w:rPr>
            </w:pPr>
          </w:p>
          <w:p w14:paraId="760A8A8B" w14:textId="77777777" w:rsidR="00590E99" w:rsidRPr="00590E99" w:rsidRDefault="00590E99" w:rsidP="00590E99">
            <w:pPr>
              <w:spacing w:after="0" w:line="276" w:lineRule="auto"/>
              <w:jc w:val="both"/>
              <w:rPr>
                <w:rFonts w:ascii="Arial" w:eastAsia="Arial" w:hAnsi="Arial" w:cs="Arial"/>
                <w:kern w:val="0"/>
                <w:sz w:val="22"/>
                <w:szCs w:val="22"/>
                <w:lang w:eastAsia="es-MX"/>
                <w14:ligatures w14:val="none"/>
              </w:rPr>
            </w:pPr>
          </w:p>
          <w:p w14:paraId="0D71FA99" w14:textId="77777777" w:rsidR="00590E99" w:rsidRPr="00590E99" w:rsidRDefault="00590E99" w:rsidP="00590E99">
            <w:pPr>
              <w:spacing w:after="0" w:line="276" w:lineRule="auto"/>
              <w:jc w:val="both"/>
              <w:rPr>
                <w:rFonts w:ascii="Arial" w:eastAsia="Arial" w:hAnsi="Arial" w:cs="Arial"/>
                <w:kern w:val="0"/>
                <w:sz w:val="22"/>
                <w:szCs w:val="22"/>
                <w:lang w:eastAsia="es-MX"/>
                <w14:ligatures w14:val="none"/>
              </w:rPr>
            </w:pPr>
          </w:p>
          <w:p w14:paraId="68A77C0C" w14:textId="77777777" w:rsidR="00590E99" w:rsidRPr="00590E99" w:rsidRDefault="00590E99" w:rsidP="00590E99">
            <w:pPr>
              <w:spacing w:after="0" w:line="276" w:lineRule="auto"/>
              <w:jc w:val="both"/>
              <w:rPr>
                <w:rFonts w:ascii="Arial" w:eastAsia="Arial" w:hAnsi="Arial" w:cs="Arial"/>
                <w:kern w:val="0"/>
                <w:sz w:val="22"/>
                <w:szCs w:val="22"/>
                <w:lang w:eastAsia="es-MX"/>
                <w14:ligatures w14:val="none"/>
              </w:rPr>
            </w:pPr>
          </w:p>
          <w:p w14:paraId="7C4EC899" w14:textId="77777777" w:rsidR="00590E99" w:rsidRPr="00590E99" w:rsidRDefault="00590E99" w:rsidP="00590E99">
            <w:pPr>
              <w:spacing w:after="0" w:line="276" w:lineRule="auto"/>
              <w:jc w:val="both"/>
              <w:rPr>
                <w:rFonts w:ascii="Arial" w:eastAsia="Arial" w:hAnsi="Arial" w:cs="Arial"/>
                <w:kern w:val="0"/>
                <w:sz w:val="22"/>
                <w:szCs w:val="22"/>
                <w:lang w:eastAsia="es-MX"/>
                <w14:ligatures w14:val="none"/>
              </w:rPr>
            </w:pPr>
          </w:p>
          <w:p w14:paraId="75729987" w14:textId="77777777" w:rsidR="00590E99" w:rsidRPr="00590E99" w:rsidRDefault="00590E99" w:rsidP="00590E99">
            <w:pPr>
              <w:spacing w:after="0" w:line="276" w:lineRule="auto"/>
              <w:jc w:val="both"/>
              <w:rPr>
                <w:rFonts w:ascii="Arial" w:eastAsia="Arial" w:hAnsi="Arial" w:cs="Arial"/>
                <w:kern w:val="0"/>
                <w:sz w:val="22"/>
                <w:szCs w:val="22"/>
                <w:lang w:eastAsia="es-MX"/>
                <w14:ligatures w14:val="none"/>
              </w:rPr>
            </w:pPr>
          </w:p>
          <w:p w14:paraId="4878CB4D" w14:textId="77777777" w:rsidR="00590E99" w:rsidRPr="00590E99" w:rsidRDefault="00590E99" w:rsidP="00590E99">
            <w:pPr>
              <w:spacing w:after="0" w:line="276" w:lineRule="auto"/>
              <w:jc w:val="both"/>
              <w:rPr>
                <w:rFonts w:ascii="Arial" w:eastAsia="Arial" w:hAnsi="Arial" w:cs="Arial"/>
                <w:kern w:val="0"/>
                <w:sz w:val="22"/>
                <w:szCs w:val="22"/>
                <w:lang w:eastAsia="es-MX"/>
                <w14:ligatures w14:val="none"/>
              </w:rPr>
            </w:pPr>
          </w:p>
          <w:p w14:paraId="5D1C1B2B" w14:textId="77777777" w:rsidR="00590E99" w:rsidRPr="00590E99" w:rsidRDefault="00590E99" w:rsidP="00590E99">
            <w:pPr>
              <w:spacing w:after="0" w:line="276" w:lineRule="auto"/>
              <w:jc w:val="both"/>
              <w:rPr>
                <w:rFonts w:ascii="Arial" w:eastAsia="Arial" w:hAnsi="Arial" w:cs="Arial"/>
                <w:kern w:val="0"/>
                <w:sz w:val="22"/>
                <w:szCs w:val="22"/>
                <w:lang w:eastAsia="es-MX"/>
                <w14:ligatures w14:val="none"/>
              </w:rPr>
            </w:pPr>
          </w:p>
          <w:p w14:paraId="1A4B246E" w14:textId="77777777" w:rsidR="00590E99" w:rsidRPr="00590E99" w:rsidRDefault="00590E99" w:rsidP="00590E99">
            <w:pPr>
              <w:spacing w:after="0" w:line="276" w:lineRule="auto"/>
              <w:jc w:val="both"/>
              <w:rPr>
                <w:rFonts w:ascii="Arial" w:eastAsia="Arial" w:hAnsi="Arial" w:cs="Arial"/>
                <w:kern w:val="0"/>
                <w:sz w:val="22"/>
                <w:szCs w:val="22"/>
                <w:lang w:eastAsia="es-MX"/>
                <w14:ligatures w14:val="none"/>
              </w:rPr>
            </w:pPr>
          </w:p>
          <w:p w14:paraId="4FC14157" w14:textId="77777777" w:rsidR="00590E99" w:rsidRPr="00590E99" w:rsidRDefault="00590E99" w:rsidP="00590E99">
            <w:pPr>
              <w:spacing w:after="0" w:line="276" w:lineRule="auto"/>
              <w:jc w:val="both"/>
              <w:rPr>
                <w:rFonts w:ascii="Arial" w:eastAsia="Arial" w:hAnsi="Arial" w:cs="Arial"/>
                <w:kern w:val="0"/>
                <w:sz w:val="22"/>
                <w:szCs w:val="22"/>
                <w:lang w:eastAsia="es-MX"/>
                <w14:ligatures w14:val="none"/>
              </w:rPr>
            </w:pPr>
          </w:p>
          <w:p w14:paraId="43F474FB" w14:textId="77777777" w:rsidR="00590E99" w:rsidRPr="00590E99" w:rsidRDefault="00590E99" w:rsidP="00590E99">
            <w:pPr>
              <w:spacing w:after="0" w:line="276" w:lineRule="auto"/>
              <w:jc w:val="both"/>
              <w:rPr>
                <w:rFonts w:ascii="Arial" w:eastAsia="Arial" w:hAnsi="Arial" w:cs="Arial"/>
                <w:kern w:val="0"/>
                <w:sz w:val="22"/>
                <w:szCs w:val="22"/>
                <w:lang w:eastAsia="es-MX"/>
                <w14:ligatures w14:val="none"/>
              </w:rPr>
            </w:pPr>
          </w:p>
          <w:p w14:paraId="14389AE0" w14:textId="77777777" w:rsidR="00590E99" w:rsidRPr="00590E99" w:rsidRDefault="00590E99" w:rsidP="00590E99">
            <w:pPr>
              <w:spacing w:after="0" w:line="276" w:lineRule="auto"/>
              <w:jc w:val="both"/>
              <w:rPr>
                <w:rFonts w:ascii="Arial" w:eastAsia="Arial" w:hAnsi="Arial" w:cs="Arial"/>
                <w:kern w:val="0"/>
                <w:sz w:val="22"/>
                <w:szCs w:val="22"/>
                <w:lang w:eastAsia="es-MX"/>
                <w14:ligatures w14:val="none"/>
              </w:rPr>
            </w:pPr>
          </w:p>
          <w:p w14:paraId="5A9A471C" w14:textId="77777777" w:rsidR="00590E99" w:rsidRPr="00590E99" w:rsidRDefault="00590E99" w:rsidP="00590E99">
            <w:pPr>
              <w:spacing w:after="0" w:line="276" w:lineRule="auto"/>
              <w:jc w:val="both"/>
              <w:rPr>
                <w:rFonts w:ascii="Arial" w:eastAsia="Arial" w:hAnsi="Arial" w:cs="Arial"/>
                <w:kern w:val="0"/>
                <w:sz w:val="22"/>
                <w:szCs w:val="22"/>
                <w:lang w:eastAsia="es-MX"/>
                <w14:ligatures w14:val="none"/>
              </w:rPr>
            </w:pPr>
          </w:p>
          <w:p w14:paraId="6BA6DECD" w14:textId="77777777" w:rsidR="00590E99" w:rsidRPr="00590E99" w:rsidRDefault="00590E99" w:rsidP="00590E99">
            <w:pPr>
              <w:spacing w:after="0" w:line="276" w:lineRule="auto"/>
              <w:jc w:val="both"/>
              <w:rPr>
                <w:rFonts w:ascii="Arial" w:eastAsia="Arial" w:hAnsi="Arial" w:cs="Arial"/>
                <w:kern w:val="0"/>
                <w:sz w:val="22"/>
                <w:szCs w:val="22"/>
                <w:lang w:eastAsia="es-MX"/>
                <w14:ligatures w14:val="none"/>
              </w:rPr>
            </w:pPr>
          </w:p>
          <w:p w14:paraId="7BBE524F" w14:textId="77777777" w:rsidR="00590E99" w:rsidRPr="00590E99" w:rsidRDefault="00590E99" w:rsidP="00590E99">
            <w:pPr>
              <w:spacing w:after="0" w:line="276" w:lineRule="auto"/>
              <w:jc w:val="both"/>
              <w:rPr>
                <w:rFonts w:ascii="Arial" w:eastAsia="Arial" w:hAnsi="Arial" w:cs="Arial"/>
                <w:kern w:val="0"/>
                <w:sz w:val="22"/>
                <w:szCs w:val="22"/>
                <w:lang w:eastAsia="es-MX"/>
                <w14:ligatures w14:val="none"/>
              </w:rPr>
            </w:pPr>
          </w:p>
          <w:p w14:paraId="4F689A02" w14:textId="77777777" w:rsidR="00590E99" w:rsidRPr="00590E99" w:rsidRDefault="00590E99" w:rsidP="00590E99">
            <w:pPr>
              <w:spacing w:after="0" w:line="276" w:lineRule="auto"/>
              <w:jc w:val="both"/>
              <w:rPr>
                <w:rFonts w:ascii="Arial" w:eastAsia="Arial" w:hAnsi="Arial" w:cs="Arial"/>
                <w:kern w:val="0"/>
                <w:sz w:val="22"/>
                <w:szCs w:val="22"/>
                <w:lang w:eastAsia="es-MX"/>
                <w14:ligatures w14:val="none"/>
              </w:rPr>
            </w:pPr>
          </w:p>
          <w:p w14:paraId="7AE91B8F" w14:textId="77777777" w:rsidR="00590E99" w:rsidRPr="00590E99" w:rsidRDefault="00590E99" w:rsidP="00590E99">
            <w:pPr>
              <w:spacing w:after="0" w:line="276" w:lineRule="auto"/>
              <w:jc w:val="both"/>
              <w:rPr>
                <w:rFonts w:ascii="Arial" w:eastAsia="Arial" w:hAnsi="Arial" w:cs="Arial"/>
                <w:kern w:val="0"/>
                <w:sz w:val="22"/>
                <w:szCs w:val="22"/>
                <w:lang w:eastAsia="es-MX"/>
                <w14:ligatures w14:val="none"/>
              </w:rPr>
            </w:pPr>
          </w:p>
          <w:p w14:paraId="5BD33F2C" w14:textId="77777777" w:rsidR="00590E99" w:rsidRPr="00590E99" w:rsidRDefault="00590E99" w:rsidP="00590E99">
            <w:pPr>
              <w:spacing w:after="0" w:line="276" w:lineRule="auto"/>
              <w:jc w:val="both"/>
              <w:rPr>
                <w:rFonts w:ascii="Arial" w:eastAsia="Arial" w:hAnsi="Arial" w:cs="Arial"/>
                <w:kern w:val="0"/>
                <w:sz w:val="22"/>
                <w:szCs w:val="22"/>
                <w:lang w:eastAsia="es-MX"/>
                <w14:ligatures w14:val="none"/>
              </w:rPr>
            </w:pPr>
          </w:p>
          <w:p w14:paraId="522B6F7F" w14:textId="77777777" w:rsidR="00590E99" w:rsidRPr="00590E99" w:rsidRDefault="00590E99" w:rsidP="00590E99">
            <w:pPr>
              <w:spacing w:after="0" w:line="276" w:lineRule="auto"/>
              <w:jc w:val="both"/>
              <w:rPr>
                <w:rFonts w:ascii="Arial" w:eastAsia="Arial" w:hAnsi="Arial" w:cs="Arial"/>
                <w:kern w:val="0"/>
                <w:sz w:val="22"/>
                <w:szCs w:val="22"/>
                <w:lang w:eastAsia="es-MX"/>
                <w14:ligatures w14:val="none"/>
              </w:rPr>
            </w:pPr>
          </w:p>
          <w:p w14:paraId="67614648" w14:textId="77777777" w:rsidR="00590E99" w:rsidRPr="00590E99" w:rsidRDefault="00590E99" w:rsidP="00590E99">
            <w:pPr>
              <w:spacing w:after="0" w:line="276" w:lineRule="auto"/>
              <w:jc w:val="both"/>
              <w:rPr>
                <w:rFonts w:ascii="Arial" w:eastAsia="Arial" w:hAnsi="Arial" w:cs="Arial"/>
                <w:kern w:val="0"/>
                <w:sz w:val="22"/>
                <w:szCs w:val="22"/>
                <w:lang w:eastAsia="es-MX"/>
                <w14:ligatures w14:val="none"/>
              </w:rPr>
            </w:pPr>
          </w:p>
        </w:tc>
        <w:tc>
          <w:tcPr>
            <w:tcW w:w="0" w:type="auto"/>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9D22E9F" w14:textId="77777777" w:rsidR="00600298" w:rsidRDefault="00000000" w:rsidP="002A4853">
            <w:pPr>
              <w:widowControl w:val="0"/>
              <w:spacing w:after="0" w:line="276" w:lineRule="auto"/>
              <w:jc w:val="both"/>
              <w:rPr>
                <w:rFonts w:ascii="Arial" w:eastAsia="Arial" w:hAnsi="Arial" w:cs="Arial"/>
                <w:kern w:val="0"/>
                <w:sz w:val="22"/>
                <w:szCs w:val="22"/>
                <w:lang w:eastAsia="es-MX"/>
                <w14:ligatures w14:val="none"/>
              </w:rPr>
            </w:pPr>
            <w:r w:rsidRPr="00590E99">
              <w:rPr>
                <w:rFonts w:ascii="Arial" w:eastAsia="Arial" w:hAnsi="Arial" w:cs="Arial"/>
                <w:kern w:val="0"/>
                <w:sz w:val="22"/>
                <w:szCs w:val="22"/>
                <w:lang w:eastAsia="es-MX"/>
                <w14:ligatures w14:val="none"/>
              </w:rPr>
              <w:t xml:space="preserve">SADM </w:t>
            </w:r>
            <w:r w:rsidR="00A45015">
              <w:rPr>
                <w:rFonts w:ascii="Arial" w:eastAsia="Arial" w:hAnsi="Arial" w:cs="Arial"/>
                <w:kern w:val="0"/>
                <w:sz w:val="22"/>
                <w:szCs w:val="22"/>
                <w:lang w:eastAsia="es-MX"/>
                <w14:ligatures w14:val="none"/>
              </w:rPr>
              <w:t>podrá</w:t>
            </w:r>
            <w:r w:rsidRPr="00590E99">
              <w:rPr>
                <w:rFonts w:ascii="Arial" w:eastAsia="Arial" w:hAnsi="Arial" w:cs="Arial"/>
                <w:kern w:val="0"/>
                <w:sz w:val="22"/>
                <w:szCs w:val="22"/>
                <w:lang w:eastAsia="es-MX"/>
                <w14:ligatures w14:val="none"/>
              </w:rPr>
              <w:t xml:space="preserve"> contratar el Financiamiento bajo la modalidad de </w:t>
            </w:r>
            <w:r>
              <w:rPr>
                <w:rFonts w:ascii="Arial" w:eastAsia="Arial" w:hAnsi="Arial" w:cs="Arial"/>
                <w:kern w:val="0"/>
                <w:sz w:val="22"/>
                <w:szCs w:val="22"/>
                <w:lang w:eastAsia="es-MX"/>
                <w14:ligatures w14:val="none"/>
              </w:rPr>
              <w:t xml:space="preserve">(i) </w:t>
            </w:r>
            <w:r w:rsidRPr="00590E99">
              <w:rPr>
                <w:rFonts w:ascii="Arial" w:eastAsia="Arial" w:hAnsi="Arial" w:cs="Arial"/>
                <w:kern w:val="0"/>
                <w:sz w:val="22"/>
                <w:szCs w:val="22"/>
                <w:lang w:eastAsia="es-MX"/>
                <w14:ligatures w14:val="none"/>
              </w:rPr>
              <w:t>tasa de interés</w:t>
            </w:r>
            <w:r>
              <w:rPr>
                <w:rFonts w:ascii="Arial" w:eastAsia="Arial" w:hAnsi="Arial" w:cs="Arial"/>
                <w:kern w:val="0"/>
                <w:sz w:val="22"/>
                <w:szCs w:val="22"/>
                <w:lang w:eastAsia="es-MX"/>
                <w14:ligatures w14:val="none"/>
              </w:rPr>
              <w:t xml:space="preserve"> </w:t>
            </w:r>
            <w:r w:rsidRPr="00590E99">
              <w:rPr>
                <w:rFonts w:ascii="Arial" w:eastAsia="Arial" w:hAnsi="Arial" w:cs="Arial"/>
                <w:kern w:val="0"/>
                <w:sz w:val="22"/>
                <w:szCs w:val="22"/>
                <w:lang w:eastAsia="es-MX"/>
                <w14:ligatures w14:val="none"/>
              </w:rPr>
              <w:t>variable</w:t>
            </w:r>
            <w:r>
              <w:rPr>
                <w:rFonts w:ascii="Arial" w:eastAsia="Arial" w:hAnsi="Arial" w:cs="Arial"/>
                <w:kern w:val="0"/>
                <w:sz w:val="22"/>
                <w:szCs w:val="22"/>
                <w:lang w:eastAsia="es-MX"/>
                <w14:ligatures w14:val="none"/>
              </w:rPr>
              <w:t xml:space="preserve"> o (</w:t>
            </w:r>
            <w:r w:rsidRPr="00293182">
              <w:rPr>
                <w:rFonts w:ascii="Arial" w:eastAsia="Arial" w:hAnsi="Arial" w:cs="Arial"/>
                <w:i/>
                <w:iCs/>
                <w:kern w:val="0"/>
                <w:sz w:val="22"/>
                <w:szCs w:val="22"/>
                <w:lang w:eastAsia="es-MX"/>
                <w14:ligatures w14:val="none"/>
              </w:rPr>
              <w:t>ii</w:t>
            </w:r>
            <w:r>
              <w:rPr>
                <w:rFonts w:ascii="Arial" w:eastAsia="Arial" w:hAnsi="Arial" w:cs="Arial"/>
                <w:kern w:val="0"/>
                <w:sz w:val="22"/>
                <w:szCs w:val="22"/>
                <w:lang w:eastAsia="es-MX"/>
                <w14:ligatures w14:val="none"/>
              </w:rPr>
              <w:t>) tasa de interés fija, sujeto a las condiciones que se detallan a continuación.</w:t>
            </w:r>
            <w:r w:rsidRPr="00933F1E">
              <w:rPr>
                <w:rFonts w:ascii="Arial" w:eastAsia="Arial" w:hAnsi="Arial" w:cs="Arial"/>
                <w:kern w:val="0"/>
                <w:sz w:val="22"/>
                <w:szCs w:val="22"/>
                <w:lang w:eastAsia="es-MX"/>
                <w14:ligatures w14:val="none"/>
              </w:rPr>
              <w:t xml:space="preserve"> </w:t>
            </w:r>
            <w:r w:rsidRPr="00590E99">
              <w:rPr>
                <w:rFonts w:ascii="Arial" w:eastAsia="Arial" w:hAnsi="Arial" w:cs="Arial"/>
                <w:kern w:val="0"/>
                <w:sz w:val="22"/>
                <w:szCs w:val="22"/>
                <w:lang w:eastAsia="es-MX"/>
                <w14:ligatures w14:val="none"/>
              </w:rPr>
              <w:t xml:space="preserve">Lo anterior, en términos de las Bases de la Licitación y de los Modelos de Contratos de Crédito que se adjuntan como </w:t>
            </w:r>
            <w:r w:rsidRPr="00590E99">
              <w:rPr>
                <w:rFonts w:ascii="Arial" w:eastAsia="Arial" w:hAnsi="Arial" w:cs="Arial"/>
                <w:b/>
                <w:kern w:val="0"/>
                <w:sz w:val="22"/>
                <w:szCs w:val="22"/>
                <w:lang w:eastAsia="es-MX"/>
                <w14:ligatures w14:val="none"/>
              </w:rPr>
              <w:t>Anexo A1</w:t>
            </w:r>
            <w:r w:rsidRPr="00590E99">
              <w:rPr>
                <w:rFonts w:ascii="Arial" w:eastAsia="Arial" w:hAnsi="Arial" w:cs="Arial"/>
                <w:kern w:val="0"/>
                <w:sz w:val="22"/>
                <w:szCs w:val="22"/>
                <w:lang w:eastAsia="es-MX"/>
                <w14:ligatures w14:val="none"/>
              </w:rPr>
              <w:t xml:space="preserve"> (</w:t>
            </w:r>
            <w:r w:rsidRPr="00590E99">
              <w:rPr>
                <w:rFonts w:ascii="Arial" w:eastAsia="Arial" w:hAnsi="Arial" w:cs="Arial"/>
                <w:i/>
                <w:kern w:val="0"/>
                <w:sz w:val="22"/>
                <w:szCs w:val="22"/>
                <w:lang w:eastAsia="es-MX"/>
                <w14:ligatures w14:val="none"/>
              </w:rPr>
              <w:t>Modelo de Contrato para Refinanciamiento y/o Reestructura</w:t>
            </w:r>
            <w:r w:rsidRPr="00590E99">
              <w:rPr>
                <w:rFonts w:ascii="Arial" w:eastAsia="Arial" w:hAnsi="Arial" w:cs="Arial"/>
                <w:kern w:val="0"/>
                <w:sz w:val="22"/>
                <w:szCs w:val="22"/>
                <w:lang w:eastAsia="es-MX"/>
                <w14:ligatures w14:val="none"/>
              </w:rPr>
              <w:t xml:space="preserve">) y </w:t>
            </w:r>
            <w:r w:rsidRPr="00590E99">
              <w:rPr>
                <w:rFonts w:ascii="Arial" w:eastAsia="Arial" w:hAnsi="Arial" w:cs="Arial"/>
                <w:b/>
                <w:kern w:val="0"/>
                <w:sz w:val="22"/>
                <w:szCs w:val="22"/>
                <w:lang w:eastAsia="es-MX"/>
                <w14:ligatures w14:val="none"/>
              </w:rPr>
              <w:t>Anexo A2</w:t>
            </w:r>
            <w:r w:rsidRPr="00590E99">
              <w:rPr>
                <w:rFonts w:ascii="Arial" w:eastAsia="Arial" w:hAnsi="Arial" w:cs="Arial"/>
                <w:kern w:val="0"/>
                <w:sz w:val="22"/>
                <w:szCs w:val="22"/>
                <w:lang w:eastAsia="es-MX"/>
                <w14:ligatures w14:val="none"/>
              </w:rPr>
              <w:t xml:space="preserve"> (</w:t>
            </w:r>
            <w:r w:rsidRPr="00590E99">
              <w:rPr>
                <w:rFonts w:ascii="Arial" w:eastAsia="Arial" w:hAnsi="Arial" w:cs="Arial"/>
                <w:i/>
                <w:kern w:val="0"/>
                <w:sz w:val="22"/>
                <w:szCs w:val="22"/>
                <w:lang w:eastAsia="es-MX"/>
                <w14:ligatures w14:val="none"/>
              </w:rPr>
              <w:t>Modelo de Contrato para el Nuevo Financiamiento</w:t>
            </w:r>
            <w:r w:rsidRPr="00590E99">
              <w:rPr>
                <w:rFonts w:ascii="Arial" w:eastAsia="Arial" w:hAnsi="Arial" w:cs="Arial"/>
                <w:kern w:val="0"/>
                <w:sz w:val="22"/>
                <w:szCs w:val="22"/>
                <w:lang w:eastAsia="es-MX"/>
                <w14:ligatures w14:val="none"/>
              </w:rPr>
              <w:t>) a las mismas.</w:t>
            </w:r>
          </w:p>
          <w:p w14:paraId="2F5343E8" w14:textId="77777777" w:rsidR="00600298" w:rsidRDefault="00600298" w:rsidP="009208F0">
            <w:pPr>
              <w:widowControl w:val="0"/>
              <w:spacing w:after="0" w:line="276" w:lineRule="auto"/>
              <w:jc w:val="both"/>
              <w:rPr>
                <w:rFonts w:ascii="Arial" w:eastAsia="Arial" w:hAnsi="Arial" w:cs="Arial"/>
                <w:kern w:val="0"/>
                <w:sz w:val="22"/>
                <w:szCs w:val="22"/>
                <w:lang w:eastAsia="es-MX"/>
                <w14:ligatures w14:val="none"/>
              </w:rPr>
            </w:pPr>
          </w:p>
          <w:p w14:paraId="2860F353" w14:textId="77777777" w:rsidR="00600298" w:rsidRDefault="00000000" w:rsidP="009208F0">
            <w:pPr>
              <w:widowControl w:val="0"/>
              <w:spacing w:after="0" w:line="276" w:lineRule="auto"/>
              <w:jc w:val="both"/>
              <w:rPr>
                <w:rFonts w:ascii="Arial" w:eastAsia="Arial" w:hAnsi="Arial" w:cs="Arial"/>
                <w:kern w:val="0"/>
                <w:sz w:val="22"/>
                <w:szCs w:val="22"/>
                <w:lang w:eastAsia="es-MX"/>
                <w14:ligatures w14:val="none"/>
              </w:rPr>
            </w:pPr>
            <w:r>
              <w:rPr>
                <w:rFonts w:ascii="Arial" w:eastAsia="Arial" w:hAnsi="Arial" w:cs="Arial"/>
                <w:kern w:val="0"/>
                <w:sz w:val="22"/>
                <w:szCs w:val="22"/>
                <w:lang w:eastAsia="es-MX"/>
                <w14:ligatures w14:val="none"/>
              </w:rPr>
              <w:t>Las Instituciones Financieras participantes en la Licitación Pública, podrán ofertar una tasa de interés variable para cualquiera de las opciones de plazo detalladas en el inciso D de las Bases</w:t>
            </w:r>
            <w:r w:rsidR="00D5613F" w:rsidRPr="00590E99">
              <w:rPr>
                <w:rFonts w:ascii="Arial" w:eastAsia="Arial" w:hAnsi="Arial" w:cs="Arial"/>
                <w:kern w:val="0"/>
                <w:sz w:val="22"/>
                <w:szCs w:val="22"/>
                <w:lang w:eastAsia="es-MX"/>
                <w14:ligatures w14:val="none"/>
              </w:rPr>
              <w:t xml:space="preserve">, </w:t>
            </w:r>
            <w:r>
              <w:rPr>
                <w:rFonts w:ascii="Arial" w:eastAsia="Arial" w:hAnsi="Arial" w:cs="Arial"/>
                <w:kern w:val="0"/>
                <w:sz w:val="22"/>
                <w:szCs w:val="22"/>
                <w:lang w:eastAsia="es-MX"/>
                <w14:ligatures w14:val="none"/>
              </w:rPr>
              <w:t>debiendo tomar como</w:t>
            </w:r>
            <w:r w:rsidRPr="00590E99">
              <w:rPr>
                <w:rFonts w:ascii="Arial" w:eastAsia="Arial" w:hAnsi="Arial" w:cs="Arial"/>
                <w:kern w:val="0"/>
                <w:sz w:val="22"/>
                <w:szCs w:val="22"/>
                <w:lang w:eastAsia="es-MX"/>
                <w14:ligatures w14:val="none"/>
              </w:rPr>
              <w:t xml:space="preserve"> </w:t>
            </w:r>
            <w:r w:rsidR="00D5613F" w:rsidRPr="00590E99">
              <w:rPr>
                <w:rFonts w:ascii="Arial" w:eastAsia="Arial" w:hAnsi="Arial" w:cs="Arial"/>
                <w:kern w:val="0"/>
                <w:sz w:val="22"/>
                <w:szCs w:val="22"/>
                <w:lang w:eastAsia="es-MX"/>
                <w14:ligatures w14:val="none"/>
              </w:rPr>
              <w:t>referencia a la TIIE de Fondeo compuesta por adelantado a 28 días o el que sustituya a ésta, de acuerdo con las disposiciones oficiales publicadas por el Banco de México (“</w:t>
            </w:r>
            <w:r w:rsidR="00D5613F" w:rsidRPr="00590E99">
              <w:rPr>
                <w:rFonts w:ascii="Arial" w:eastAsia="Arial" w:hAnsi="Arial" w:cs="Arial"/>
                <w:kern w:val="0"/>
                <w:sz w:val="22"/>
                <w:szCs w:val="22"/>
                <w:u w:val="single"/>
                <w:lang w:eastAsia="es-MX"/>
                <w14:ligatures w14:val="none"/>
              </w:rPr>
              <w:t>TIIE de Fondeo</w:t>
            </w:r>
            <w:r w:rsidR="00D5613F" w:rsidRPr="00590E99">
              <w:rPr>
                <w:rFonts w:ascii="Arial" w:eastAsia="Arial" w:hAnsi="Arial" w:cs="Arial"/>
                <w:kern w:val="0"/>
                <w:sz w:val="22"/>
                <w:szCs w:val="22"/>
                <w:lang w:eastAsia="es-MX"/>
                <w14:ligatures w14:val="none"/>
              </w:rPr>
              <w:t>”) o en su defecto, los indicadores que se indican en estas Bases de Licitación, más una sobretasa expresada en puntos base o porcentuales ("</w:t>
            </w:r>
            <w:r w:rsidR="00D5613F" w:rsidRPr="00590E99">
              <w:rPr>
                <w:rFonts w:ascii="Arial" w:eastAsia="Arial" w:hAnsi="Arial" w:cs="Arial"/>
                <w:kern w:val="0"/>
                <w:sz w:val="22"/>
                <w:szCs w:val="22"/>
                <w:u w:val="single"/>
                <w:lang w:eastAsia="es-MX"/>
                <w14:ligatures w14:val="none"/>
              </w:rPr>
              <w:t>Sobretasa</w:t>
            </w:r>
            <w:r w:rsidR="00D5613F" w:rsidRPr="00590E99">
              <w:rPr>
                <w:rFonts w:ascii="Arial" w:eastAsia="Arial" w:hAnsi="Arial" w:cs="Arial"/>
                <w:kern w:val="0"/>
                <w:sz w:val="22"/>
                <w:szCs w:val="22"/>
                <w:lang w:eastAsia="es-MX"/>
                <w14:ligatures w14:val="none"/>
              </w:rPr>
              <w:t>")</w:t>
            </w:r>
            <w:r>
              <w:rPr>
                <w:rFonts w:ascii="Arial" w:eastAsia="Arial" w:hAnsi="Arial" w:cs="Arial"/>
                <w:kern w:val="0"/>
                <w:sz w:val="22"/>
                <w:szCs w:val="22"/>
                <w:lang w:eastAsia="es-MX"/>
                <w14:ligatures w14:val="none"/>
              </w:rPr>
              <w:t>.</w:t>
            </w:r>
          </w:p>
          <w:p w14:paraId="2A637B0A" w14:textId="77777777" w:rsidR="00600298" w:rsidRDefault="00600298" w:rsidP="009208F0">
            <w:pPr>
              <w:widowControl w:val="0"/>
              <w:spacing w:after="0" w:line="276" w:lineRule="auto"/>
              <w:jc w:val="both"/>
              <w:rPr>
                <w:rFonts w:ascii="Arial" w:eastAsia="Arial" w:hAnsi="Arial" w:cs="Arial"/>
                <w:kern w:val="0"/>
                <w:sz w:val="22"/>
                <w:szCs w:val="22"/>
                <w:lang w:eastAsia="es-MX"/>
                <w14:ligatures w14:val="none"/>
              </w:rPr>
            </w:pPr>
          </w:p>
          <w:p w14:paraId="4573F7D6" w14:textId="77777777" w:rsidR="00590E99" w:rsidRPr="00590E99" w:rsidRDefault="00000000" w:rsidP="00590E99">
            <w:pPr>
              <w:spacing w:before="240" w:after="240" w:line="276" w:lineRule="auto"/>
              <w:jc w:val="both"/>
              <w:rPr>
                <w:rFonts w:ascii="Arial" w:eastAsia="Arial" w:hAnsi="Arial" w:cs="Arial"/>
                <w:kern w:val="0"/>
                <w:sz w:val="22"/>
                <w:szCs w:val="22"/>
                <w:lang w:eastAsia="es-MX"/>
                <w14:ligatures w14:val="none"/>
              </w:rPr>
            </w:pPr>
            <w:r w:rsidRPr="00590E99">
              <w:rPr>
                <w:rFonts w:ascii="Arial" w:eastAsia="Arial" w:hAnsi="Arial" w:cs="Arial"/>
                <w:kern w:val="0"/>
                <w:sz w:val="22"/>
                <w:szCs w:val="22"/>
                <w:lang w:eastAsia="es-MX"/>
                <w14:ligatures w14:val="none"/>
              </w:rPr>
              <w:t>La TIIE de Fondeo se publica en la página del Sistema de Información Económica del Banco de México (Banxico.org.mx/SieInternet/) en el apartado de Tasas y precios de referencia bajo el concepto de Índices de TIIE de Fondeo y TIIEs de Fondeo Compuestas por adelantado. Siendo aplicable la TIIE de Fondeo compuesta por adelantado a 28 días del día hábil anterior al inicio del periodo de intereses del Contrato de Crédito.</w:t>
            </w:r>
          </w:p>
          <w:p w14:paraId="0CF7B858" w14:textId="77777777" w:rsidR="00590E99" w:rsidRDefault="00000000" w:rsidP="00590E99">
            <w:pPr>
              <w:spacing w:before="240" w:after="240" w:line="276" w:lineRule="auto"/>
              <w:jc w:val="both"/>
              <w:rPr>
                <w:rFonts w:ascii="Arial" w:eastAsia="Arial" w:hAnsi="Arial" w:cs="Arial"/>
                <w:kern w:val="0"/>
                <w:sz w:val="22"/>
                <w:szCs w:val="22"/>
                <w:lang w:eastAsia="es-MX"/>
                <w14:ligatures w14:val="none"/>
              </w:rPr>
            </w:pPr>
            <w:r w:rsidRPr="00590E99">
              <w:rPr>
                <w:rFonts w:ascii="Arial" w:eastAsia="Arial" w:hAnsi="Arial" w:cs="Arial"/>
                <w:kern w:val="0"/>
                <w:sz w:val="22"/>
                <w:szCs w:val="22"/>
                <w:lang w:eastAsia="es-MX"/>
                <w14:ligatures w14:val="none"/>
              </w:rPr>
              <w:t xml:space="preserve">En caso de que deje de ser publicada la TIIE de Fondeo compuesta por adelantado a 28 días, aplicará la metodología de cálculo establecida en los Modelos de Contratos de Crédito que se adjuntan a las Bases de la Licitación como </w:t>
            </w:r>
            <w:r w:rsidRPr="00590E99">
              <w:rPr>
                <w:rFonts w:ascii="Arial" w:eastAsia="Arial" w:hAnsi="Arial" w:cs="Arial"/>
                <w:b/>
                <w:kern w:val="0"/>
                <w:sz w:val="22"/>
                <w:szCs w:val="22"/>
                <w:lang w:eastAsia="es-MX"/>
                <w14:ligatures w14:val="none"/>
              </w:rPr>
              <w:t>Anexo A1</w:t>
            </w:r>
            <w:r w:rsidRPr="00590E99">
              <w:rPr>
                <w:rFonts w:ascii="Arial" w:eastAsia="Arial" w:hAnsi="Arial" w:cs="Arial"/>
                <w:kern w:val="0"/>
                <w:sz w:val="22"/>
                <w:szCs w:val="22"/>
                <w:lang w:eastAsia="es-MX"/>
                <w14:ligatures w14:val="none"/>
              </w:rPr>
              <w:t xml:space="preserve"> (</w:t>
            </w:r>
            <w:r w:rsidRPr="00590E99">
              <w:rPr>
                <w:rFonts w:ascii="Arial" w:eastAsia="Arial" w:hAnsi="Arial" w:cs="Arial"/>
                <w:i/>
                <w:kern w:val="0"/>
                <w:sz w:val="22"/>
                <w:szCs w:val="22"/>
                <w:lang w:eastAsia="es-MX"/>
                <w14:ligatures w14:val="none"/>
              </w:rPr>
              <w:t>Modelo de Contrato para Refinanciamiento y/o Reestructura</w:t>
            </w:r>
            <w:r w:rsidRPr="00590E99">
              <w:rPr>
                <w:rFonts w:ascii="Arial" w:eastAsia="Arial" w:hAnsi="Arial" w:cs="Arial"/>
                <w:kern w:val="0"/>
                <w:sz w:val="22"/>
                <w:szCs w:val="22"/>
                <w:lang w:eastAsia="es-MX"/>
                <w14:ligatures w14:val="none"/>
              </w:rPr>
              <w:t xml:space="preserve">) y </w:t>
            </w:r>
            <w:r w:rsidRPr="00590E99">
              <w:rPr>
                <w:rFonts w:ascii="Arial" w:eastAsia="Arial" w:hAnsi="Arial" w:cs="Arial"/>
                <w:b/>
                <w:kern w:val="0"/>
                <w:sz w:val="22"/>
                <w:szCs w:val="22"/>
                <w:lang w:eastAsia="es-MX"/>
                <w14:ligatures w14:val="none"/>
              </w:rPr>
              <w:t>Anexo A2</w:t>
            </w:r>
            <w:r w:rsidRPr="00590E99">
              <w:rPr>
                <w:rFonts w:ascii="Arial" w:eastAsia="Arial" w:hAnsi="Arial" w:cs="Arial"/>
                <w:kern w:val="0"/>
                <w:sz w:val="22"/>
                <w:szCs w:val="22"/>
                <w:lang w:eastAsia="es-MX"/>
                <w14:ligatures w14:val="none"/>
              </w:rPr>
              <w:t xml:space="preserve"> (</w:t>
            </w:r>
            <w:r w:rsidRPr="00590E99">
              <w:rPr>
                <w:rFonts w:ascii="Arial" w:eastAsia="Arial" w:hAnsi="Arial" w:cs="Arial"/>
                <w:i/>
                <w:kern w:val="0"/>
                <w:sz w:val="22"/>
                <w:szCs w:val="22"/>
                <w:lang w:eastAsia="es-MX"/>
                <w14:ligatures w14:val="none"/>
              </w:rPr>
              <w:t>Modelo de Contrato para el Nuevo Financiamiento</w:t>
            </w:r>
            <w:r w:rsidRPr="00590E99">
              <w:rPr>
                <w:rFonts w:ascii="Arial" w:eastAsia="Arial" w:hAnsi="Arial" w:cs="Arial"/>
                <w:kern w:val="0"/>
                <w:sz w:val="22"/>
                <w:szCs w:val="22"/>
                <w:lang w:eastAsia="es-MX"/>
                <w14:ligatures w14:val="none"/>
              </w:rPr>
              <w:t>).</w:t>
            </w:r>
          </w:p>
          <w:p w14:paraId="1667B527" w14:textId="77777777" w:rsidR="00F97D5C" w:rsidRPr="00590E99" w:rsidRDefault="00000000" w:rsidP="00590E99">
            <w:pPr>
              <w:spacing w:before="240" w:after="240" w:line="276" w:lineRule="auto"/>
              <w:contextualSpacing/>
              <w:jc w:val="both"/>
              <w:rPr>
                <w:rFonts w:ascii="Arial" w:eastAsia="Arial" w:hAnsi="Arial" w:cs="Arial"/>
                <w:kern w:val="0"/>
                <w:sz w:val="22"/>
                <w:szCs w:val="22"/>
                <w:lang w:eastAsia="es-MX"/>
                <w14:ligatures w14:val="none"/>
              </w:rPr>
            </w:pPr>
            <w:r>
              <w:rPr>
                <w:rFonts w:ascii="Arial" w:eastAsia="Arial" w:hAnsi="Arial" w:cs="Arial"/>
                <w:kern w:val="0"/>
                <w:sz w:val="22"/>
                <w:szCs w:val="22"/>
                <w:lang w:eastAsia="es-MX"/>
                <w14:ligatures w14:val="none"/>
              </w:rPr>
              <w:t xml:space="preserve">Asimismo y únicamente para las Ofertas con opción de plazo de pago hasta 15 (quince) años, las Instituciones Financieras participantes podrán ofertar una tasa de interés fija. Las Instituciones Financieras participantes en la Licitación Pública que opten por ofertar una tasa </w:t>
            </w:r>
            <w:r>
              <w:rPr>
                <w:rFonts w:ascii="Arial" w:eastAsia="Arial" w:hAnsi="Arial" w:cs="Arial"/>
                <w:kern w:val="0"/>
                <w:sz w:val="22"/>
                <w:szCs w:val="22"/>
                <w:lang w:eastAsia="es-MX"/>
                <w14:ligatures w14:val="none"/>
              </w:rPr>
              <w:lastRenderedPageBreak/>
              <w:t>fija, deberán expresar en sus Ofertas la tasa de interés fija junto con el dato del índice bajo la cual se estableció, así como el valor y fecha de dicho índice a la fecha de desembolso.</w:t>
            </w:r>
            <w:r w:rsidR="00C65262">
              <w:rPr>
                <w:rFonts w:ascii="Arial" w:eastAsia="Arial" w:hAnsi="Arial" w:cs="Arial"/>
                <w:kern w:val="0"/>
                <w:sz w:val="22"/>
                <w:szCs w:val="22"/>
                <w:lang w:eastAsia="es-MX"/>
                <w14:ligatures w14:val="none"/>
              </w:rPr>
              <w:t xml:space="preserve"> </w:t>
            </w:r>
            <w:r w:rsidR="00D5613F" w:rsidRPr="00590E99">
              <w:rPr>
                <w:rFonts w:ascii="Arial" w:eastAsia="Arial" w:hAnsi="Arial" w:cs="Arial"/>
                <w:kern w:val="0"/>
                <w:sz w:val="22"/>
                <w:szCs w:val="22"/>
                <w:lang w:eastAsia="es-MX"/>
                <w14:ligatures w14:val="none"/>
              </w:rPr>
              <w:t>Las Ofertas serán evaluadas considerando una calificación objetivo de la estructura del Financiamiento equivalente a AAA (“</w:t>
            </w:r>
            <w:r w:rsidR="00D5613F" w:rsidRPr="00590E99">
              <w:rPr>
                <w:rFonts w:ascii="Arial" w:eastAsia="Arial" w:hAnsi="Arial" w:cs="Arial"/>
                <w:kern w:val="0"/>
                <w:sz w:val="22"/>
                <w:szCs w:val="22"/>
                <w:u w:val="single"/>
                <w:lang w:eastAsia="es-MX"/>
                <w14:ligatures w14:val="none"/>
              </w:rPr>
              <w:t>Calificación Objetivo</w:t>
            </w:r>
            <w:r w:rsidR="00D5613F" w:rsidRPr="00590E99">
              <w:rPr>
                <w:rFonts w:ascii="Arial" w:eastAsia="Arial" w:hAnsi="Arial" w:cs="Arial"/>
                <w:kern w:val="0"/>
                <w:sz w:val="22"/>
                <w:szCs w:val="22"/>
                <w:lang w:eastAsia="es-MX"/>
                <w14:ligatures w14:val="none"/>
              </w:rPr>
              <w:t xml:space="preserve">”). No obstante, </w:t>
            </w:r>
            <w:r>
              <w:rPr>
                <w:rFonts w:ascii="Arial" w:eastAsia="Arial" w:hAnsi="Arial" w:cs="Arial"/>
                <w:kern w:val="0"/>
                <w:sz w:val="22"/>
                <w:szCs w:val="22"/>
                <w:lang w:eastAsia="es-MX"/>
                <w14:ligatures w14:val="none"/>
              </w:rPr>
              <w:t xml:space="preserve">tanto </w:t>
            </w:r>
            <w:r w:rsidR="00D5613F" w:rsidRPr="00590E99">
              <w:rPr>
                <w:rFonts w:ascii="Arial" w:eastAsia="Arial" w:hAnsi="Arial" w:cs="Arial"/>
                <w:kern w:val="0"/>
                <w:sz w:val="22"/>
                <w:szCs w:val="22"/>
                <w:lang w:eastAsia="es-MX"/>
                <w14:ligatures w14:val="none"/>
              </w:rPr>
              <w:t xml:space="preserve">las Ofertas </w:t>
            </w:r>
            <w:r>
              <w:rPr>
                <w:rFonts w:ascii="Arial" w:eastAsia="Arial" w:hAnsi="Arial" w:cs="Arial"/>
                <w:kern w:val="0"/>
                <w:sz w:val="22"/>
                <w:szCs w:val="22"/>
                <w:lang w:eastAsia="es-MX"/>
                <w14:ligatures w14:val="none"/>
              </w:rPr>
              <w:t xml:space="preserve">que incluyan tasa de interés variable o tasa de interés fija, </w:t>
            </w:r>
            <w:r w:rsidR="00D5613F" w:rsidRPr="00590E99">
              <w:rPr>
                <w:rFonts w:ascii="Arial" w:eastAsia="Arial" w:hAnsi="Arial" w:cs="Arial"/>
                <w:kern w:val="0"/>
                <w:sz w:val="22"/>
                <w:szCs w:val="22"/>
                <w:lang w:eastAsia="es-MX"/>
                <w14:ligatures w14:val="none"/>
              </w:rPr>
              <w:t>deberán indicar si la Calificación Objetivo sufrirá variaciones durante la vigencia de los Contratos de Crédito respectivos, en función de ajustes en la calificación de la estructura del Financiamiento. Lo anterior, puesto que será un criterio de desempate de las Ofertas, conforme lo detallado en la Sección III, apartado B, numeral 4, inciso d de las Bases de la Licitación.</w:t>
            </w:r>
          </w:p>
        </w:tc>
      </w:tr>
      <w:tr w:rsidR="00DA57A7" w14:paraId="3466F188" w14:textId="77777777" w:rsidTr="00F97D5C">
        <w:trPr>
          <w:trHeight w:val="3571"/>
        </w:trPr>
        <w:tc>
          <w:tcPr>
            <w:tcW w:w="0" w:type="auto"/>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79D2490" w14:textId="77777777" w:rsidR="00590E99" w:rsidRPr="00590E99" w:rsidRDefault="00000000" w:rsidP="00590E99">
            <w:pPr>
              <w:spacing w:after="0" w:line="276" w:lineRule="auto"/>
              <w:jc w:val="both"/>
              <w:rPr>
                <w:rFonts w:ascii="Arial" w:eastAsia="Arial" w:hAnsi="Arial" w:cs="Arial"/>
                <w:kern w:val="0"/>
                <w:sz w:val="22"/>
                <w:szCs w:val="22"/>
                <w:lang w:eastAsia="es-MX"/>
                <w14:ligatures w14:val="none"/>
              </w:rPr>
            </w:pPr>
            <w:r w:rsidRPr="00590E99">
              <w:rPr>
                <w:rFonts w:ascii="Arial" w:eastAsia="Arial" w:hAnsi="Arial" w:cs="Arial"/>
                <w:kern w:val="0"/>
                <w:sz w:val="22"/>
                <w:szCs w:val="22"/>
                <w:lang w:eastAsia="es-MX"/>
                <w14:ligatures w14:val="none"/>
              </w:rPr>
              <w:lastRenderedPageBreak/>
              <w:t>Periodo de disposición:</w:t>
            </w:r>
          </w:p>
          <w:p w14:paraId="1290A3CC" w14:textId="77777777" w:rsidR="00590E99" w:rsidRPr="00590E99" w:rsidRDefault="00590E99" w:rsidP="00590E99">
            <w:pPr>
              <w:spacing w:after="0" w:line="276" w:lineRule="auto"/>
              <w:jc w:val="both"/>
              <w:rPr>
                <w:rFonts w:ascii="Arial" w:eastAsia="Arial" w:hAnsi="Arial" w:cs="Arial"/>
                <w:kern w:val="0"/>
                <w:sz w:val="22"/>
                <w:szCs w:val="22"/>
                <w:lang w:eastAsia="es-MX"/>
                <w14:ligatures w14:val="none"/>
              </w:rPr>
            </w:pPr>
          </w:p>
          <w:p w14:paraId="51E889C6" w14:textId="77777777" w:rsidR="00590E99" w:rsidRPr="00590E99" w:rsidRDefault="00590E99" w:rsidP="00590E99">
            <w:pPr>
              <w:spacing w:after="0" w:line="276" w:lineRule="auto"/>
              <w:jc w:val="both"/>
              <w:rPr>
                <w:rFonts w:ascii="Arial" w:eastAsia="Arial" w:hAnsi="Arial" w:cs="Arial"/>
                <w:kern w:val="0"/>
                <w:sz w:val="22"/>
                <w:szCs w:val="22"/>
                <w:lang w:eastAsia="es-MX"/>
                <w14:ligatures w14:val="none"/>
              </w:rPr>
            </w:pPr>
          </w:p>
          <w:p w14:paraId="60FA4167" w14:textId="77777777" w:rsidR="00590E99" w:rsidRPr="00590E99" w:rsidRDefault="00590E99" w:rsidP="00590E99">
            <w:pPr>
              <w:spacing w:after="0" w:line="276" w:lineRule="auto"/>
              <w:jc w:val="both"/>
              <w:rPr>
                <w:rFonts w:ascii="Arial" w:eastAsia="Arial" w:hAnsi="Arial" w:cs="Arial"/>
                <w:kern w:val="0"/>
                <w:sz w:val="22"/>
                <w:szCs w:val="22"/>
                <w:lang w:eastAsia="es-MX"/>
                <w14:ligatures w14:val="none"/>
              </w:rPr>
            </w:pPr>
          </w:p>
          <w:p w14:paraId="7BABE967" w14:textId="77777777" w:rsidR="00590E99" w:rsidRPr="00590E99" w:rsidRDefault="00590E99" w:rsidP="00590E99">
            <w:pPr>
              <w:spacing w:after="0" w:line="276" w:lineRule="auto"/>
              <w:jc w:val="both"/>
              <w:rPr>
                <w:rFonts w:ascii="Arial" w:eastAsia="Arial" w:hAnsi="Arial" w:cs="Arial"/>
                <w:kern w:val="0"/>
                <w:sz w:val="22"/>
                <w:szCs w:val="22"/>
                <w:lang w:eastAsia="es-MX"/>
                <w14:ligatures w14:val="none"/>
              </w:rPr>
            </w:pPr>
          </w:p>
          <w:p w14:paraId="0D25FE38" w14:textId="77777777" w:rsidR="00590E99" w:rsidRPr="00590E99" w:rsidRDefault="00590E99" w:rsidP="00590E99">
            <w:pPr>
              <w:spacing w:after="0" w:line="276" w:lineRule="auto"/>
              <w:jc w:val="both"/>
              <w:rPr>
                <w:rFonts w:ascii="Arial" w:eastAsia="Arial" w:hAnsi="Arial" w:cs="Arial"/>
                <w:kern w:val="0"/>
                <w:sz w:val="22"/>
                <w:szCs w:val="22"/>
                <w:lang w:eastAsia="es-MX"/>
                <w14:ligatures w14:val="none"/>
              </w:rPr>
            </w:pPr>
          </w:p>
          <w:p w14:paraId="0596701B" w14:textId="77777777" w:rsidR="00590E99" w:rsidRPr="00590E99" w:rsidRDefault="00590E99" w:rsidP="00590E99">
            <w:pPr>
              <w:spacing w:after="0" w:line="276" w:lineRule="auto"/>
              <w:jc w:val="both"/>
              <w:rPr>
                <w:rFonts w:ascii="Arial" w:eastAsia="Arial" w:hAnsi="Arial" w:cs="Arial"/>
                <w:kern w:val="0"/>
                <w:sz w:val="22"/>
                <w:szCs w:val="22"/>
                <w:lang w:eastAsia="es-MX"/>
                <w14:ligatures w14:val="none"/>
              </w:rPr>
            </w:pPr>
          </w:p>
          <w:p w14:paraId="77577367" w14:textId="77777777" w:rsidR="00590E99" w:rsidRPr="00590E99" w:rsidRDefault="00590E99" w:rsidP="00590E99">
            <w:pPr>
              <w:spacing w:after="0" w:line="276" w:lineRule="auto"/>
              <w:jc w:val="both"/>
              <w:rPr>
                <w:rFonts w:ascii="Arial" w:eastAsia="Arial" w:hAnsi="Arial" w:cs="Arial"/>
                <w:kern w:val="0"/>
                <w:sz w:val="22"/>
                <w:szCs w:val="22"/>
                <w:lang w:eastAsia="es-MX"/>
                <w14:ligatures w14:val="none"/>
              </w:rPr>
            </w:pPr>
          </w:p>
          <w:p w14:paraId="70F32E13" w14:textId="77777777" w:rsidR="00590E99" w:rsidRPr="00590E99" w:rsidRDefault="00590E99" w:rsidP="00590E99">
            <w:pPr>
              <w:spacing w:after="0" w:line="276" w:lineRule="auto"/>
              <w:jc w:val="both"/>
              <w:rPr>
                <w:rFonts w:ascii="Arial" w:eastAsia="Arial" w:hAnsi="Arial" w:cs="Arial"/>
                <w:kern w:val="0"/>
                <w:sz w:val="22"/>
                <w:szCs w:val="22"/>
                <w:lang w:eastAsia="es-MX"/>
                <w14:ligatures w14:val="none"/>
              </w:rPr>
            </w:pPr>
          </w:p>
          <w:p w14:paraId="3C3B9241" w14:textId="77777777" w:rsidR="00590E99" w:rsidRPr="00590E99" w:rsidRDefault="00590E99" w:rsidP="00590E99">
            <w:pPr>
              <w:spacing w:after="0" w:line="276" w:lineRule="auto"/>
              <w:jc w:val="both"/>
              <w:rPr>
                <w:rFonts w:ascii="Arial" w:eastAsia="Arial" w:hAnsi="Arial" w:cs="Arial"/>
                <w:kern w:val="0"/>
                <w:sz w:val="22"/>
                <w:szCs w:val="22"/>
                <w:lang w:eastAsia="es-MX"/>
                <w14:ligatures w14:val="none"/>
              </w:rPr>
            </w:pPr>
          </w:p>
          <w:p w14:paraId="54668B1F" w14:textId="77777777" w:rsidR="00590E99" w:rsidRPr="00590E99" w:rsidRDefault="00590E99" w:rsidP="00590E99">
            <w:pPr>
              <w:spacing w:after="0" w:line="276" w:lineRule="auto"/>
              <w:jc w:val="both"/>
              <w:rPr>
                <w:rFonts w:ascii="Arial" w:eastAsia="Arial" w:hAnsi="Arial" w:cs="Arial"/>
                <w:kern w:val="0"/>
                <w:sz w:val="22"/>
                <w:szCs w:val="22"/>
                <w:lang w:eastAsia="es-MX"/>
                <w14:ligatures w14:val="none"/>
              </w:rPr>
            </w:pPr>
          </w:p>
          <w:p w14:paraId="7CF41759" w14:textId="77777777" w:rsidR="00590E99" w:rsidRPr="00590E99" w:rsidRDefault="00590E99" w:rsidP="00590E99">
            <w:pPr>
              <w:spacing w:after="0" w:line="276" w:lineRule="auto"/>
              <w:jc w:val="both"/>
              <w:rPr>
                <w:rFonts w:ascii="Arial" w:eastAsia="Arial" w:hAnsi="Arial" w:cs="Arial"/>
                <w:kern w:val="0"/>
                <w:sz w:val="22"/>
                <w:szCs w:val="22"/>
                <w:lang w:eastAsia="es-MX"/>
                <w14:ligatures w14:val="none"/>
              </w:rPr>
            </w:pPr>
          </w:p>
          <w:p w14:paraId="3B30B189" w14:textId="77777777" w:rsidR="00590E99" w:rsidRPr="00590E99" w:rsidRDefault="00590E99" w:rsidP="00590E99">
            <w:pPr>
              <w:spacing w:after="0" w:line="276" w:lineRule="auto"/>
              <w:jc w:val="both"/>
              <w:rPr>
                <w:rFonts w:ascii="Arial" w:eastAsia="Arial" w:hAnsi="Arial" w:cs="Arial"/>
                <w:kern w:val="0"/>
                <w:sz w:val="22"/>
                <w:szCs w:val="22"/>
                <w:lang w:eastAsia="es-MX"/>
                <w14:ligatures w14:val="none"/>
              </w:rPr>
            </w:pPr>
          </w:p>
          <w:p w14:paraId="5617A684" w14:textId="77777777" w:rsidR="00590E99" w:rsidRPr="00590E99" w:rsidRDefault="00590E99" w:rsidP="00590E99">
            <w:pPr>
              <w:spacing w:after="0" w:line="276" w:lineRule="auto"/>
              <w:jc w:val="both"/>
              <w:rPr>
                <w:rFonts w:ascii="Arial" w:eastAsia="Arial" w:hAnsi="Arial" w:cs="Arial"/>
                <w:kern w:val="0"/>
                <w:sz w:val="22"/>
                <w:szCs w:val="22"/>
                <w:lang w:eastAsia="es-MX"/>
                <w14:ligatures w14:val="none"/>
              </w:rPr>
            </w:pPr>
          </w:p>
          <w:p w14:paraId="645BF64F" w14:textId="77777777" w:rsidR="00590E99" w:rsidRPr="00590E99" w:rsidRDefault="00590E99" w:rsidP="00590E99">
            <w:pPr>
              <w:spacing w:after="0" w:line="276" w:lineRule="auto"/>
              <w:jc w:val="both"/>
              <w:rPr>
                <w:rFonts w:ascii="Arial" w:eastAsia="Arial" w:hAnsi="Arial" w:cs="Arial"/>
                <w:kern w:val="0"/>
                <w:sz w:val="22"/>
                <w:szCs w:val="22"/>
                <w:lang w:eastAsia="es-MX"/>
                <w14:ligatures w14:val="none"/>
              </w:rPr>
            </w:pPr>
          </w:p>
          <w:p w14:paraId="3705252B" w14:textId="77777777" w:rsidR="00590E99" w:rsidRPr="00590E99" w:rsidRDefault="00590E99" w:rsidP="00590E99">
            <w:pPr>
              <w:spacing w:after="0" w:line="276" w:lineRule="auto"/>
              <w:jc w:val="both"/>
              <w:rPr>
                <w:rFonts w:ascii="Arial" w:eastAsia="Arial" w:hAnsi="Arial" w:cs="Arial"/>
                <w:kern w:val="0"/>
                <w:sz w:val="22"/>
                <w:szCs w:val="22"/>
                <w:lang w:eastAsia="es-MX"/>
                <w14:ligatures w14:val="none"/>
              </w:rPr>
            </w:pPr>
          </w:p>
        </w:tc>
        <w:tc>
          <w:tcPr>
            <w:tcW w:w="0" w:type="auto"/>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B6FAEBF" w14:textId="77777777" w:rsidR="00590E99" w:rsidRPr="00590E99" w:rsidRDefault="00000000" w:rsidP="00590E99">
            <w:pPr>
              <w:spacing w:after="240" w:line="276" w:lineRule="auto"/>
              <w:jc w:val="both"/>
              <w:rPr>
                <w:rFonts w:ascii="Arial" w:eastAsia="Arial" w:hAnsi="Arial" w:cs="Arial"/>
                <w:kern w:val="0"/>
                <w:sz w:val="22"/>
                <w:szCs w:val="22"/>
                <w:lang w:eastAsia="es-MX"/>
                <w14:ligatures w14:val="none"/>
              </w:rPr>
            </w:pPr>
            <w:r w:rsidRPr="00590E99">
              <w:rPr>
                <w:rFonts w:ascii="Arial" w:eastAsia="Arial" w:hAnsi="Arial" w:cs="Arial"/>
                <w:kern w:val="0"/>
                <w:sz w:val="22"/>
                <w:szCs w:val="22"/>
                <w:lang w:eastAsia="es-MX"/>
                <w14:ligatures w14:val="none"/>
              </w:rPr>
              <w:t xml:space="preserve">Hasta 3 (tres) meses a partir de que se hayan cumplido las condiciones suspensivas de disposición previstas en los Modelos de Contratos de Crédito que se adjuntan a las Bases de la Licitación como </w:t>
            </w:r>
            <w:r w:rsidRPr="00590E99">
              <w:rPr>
                <w:rFonts w:ascii="Arial" w:eastAsia="Arial" w:hAnsi="Arial" w:cs="Arial"/>
                <w:b/>
                <w:kern w:val="0"/>
                <w:sz w:val="22"/>
                <w:szCs w:val="22"/>
                <w:lang w:eastAsia="es-MX"/>
                <w14:ligatures w14:val="none"/>
              </w:rPr>
              <w:t>Anexo A1</w:t>
            </w:r>
            <w:r w:rsidRPr="00590E99">
              <w:rPr>
                <w:rFonts w:ascii="Arial" w:eastAsia="Arial" w:hAnsi="Arial" w:cs="Arial"/>
                <w:kern w:val="0"/>
                <w:sz w:val="22"/>
                <w:szCs w:val="22"/>
                <w:lang w:eastAsia="es-MX"/>
                <w14:ligatures w14:val="none"/>
              </w:rPr>
              <w:t xml:space="preserve"> (</w:t>
            </w:r>
            <w:r w:rsidRPr="00590E99">
              <w:rPr>
                <w:rFonts w:ascii="Arial" w:eastAsia="Arial" w:hAnsi="Arial" w:cs="Arial"/>
                <w:i/>
                <w:kern w:val="0"/>
                <w:sz w:val="22"/>
                <w:szCs w:val="22"/>
                <w:lang w:eastAsia="es-MX"/>
                <w14:ligatures w14:val="none"/>
              </w:rPr>
              <w:t>Modelo de Contrato para Refinanciamiento y/o Reestructura</w:t>
            </w:r>
            <w:r w:rsidRPr="00590E99">
              <w:rPr>
                <w:rFonts w:ascii="Arial" w:eastAsia="Arial" w:hAnsi="Arial" w:cs="Arial"/>
                <w:kern w:val="0"/>
                <w:sz w:val="22"/>
                <w:szCs w:val="22"/>
                <w:lang w:eastAsia="es-MX"/>
                <w14:ligatures w14:val="none"/>
              </w:rPr>
              <w:t xml:space="preserve">) y </w:t>
            </w:r>
            <w:r w:rsidRPr="00590E99">
              <w:rPr>
                <w:rFonts w:ascii="Arial" w:eastAsia="Arial" w:hAnsi="Arial" w:cs="Arial"/>
                <w:b/>
                <w:kern w:val="0"/>
                <w:sz w:val="22"/>
                <w:szCs w:val="22"/>
                <w:lang w:eastAsia="es-MX"/>
                <w14:ligatures w14:val="none"/>
              </w:rPr>
              <w:t>Anexo A2</w:t>
            </w:r>
            <w:r w:rsidRPr="00590E99">
              <w:rPr>
                <w:rFonts w:ascii="Arial" w:eastAsia="Arial" w:hAnsi="Arial" w:cs="Arial"/>
                <w:kern w:val="0"/>
                <w:sz w:val="22"/>
                <w:szCs w:val="22"/>
                <w:lang w:eastAsia="es-MX"/>
                <w14:ligatures w14:val="none"/>
              </w:rPr>
              <w:t xml:space="preserve"> (</w:t>
            </w:r>
            <w:r w:rsidRPr="00590E99">
              <w:rPr>
                <w:rFonts w:ascii="Arial" w:eastAsia="Arial" w:hAnsi="Arial" w:cs="Arial"/>
                <w:i/>
                <w:kern w:val="0"/>
                <w:sz w:val="22"/>
                <w:szCs w:val="22"/>
                <w:lang w:eastAsia="es-MX"/>
                <w14:ligatures w14:val="none"/>
              </w:rPr>
              <w:t>Modelo de Contrato para el Nuevo Financiamiento</w:t>
            </w:r>
            <w:r w:rsidRPr="00590E99">
              <w:rPr>
                <w:rFonts w:ascii="Arial" w:eastAsia="Arial" w:hAnsi="Arial" w:cs="Arial"/>
                <w:kern w:val="0"/>
                <w:sz w:val="22"/>
                <w:szCs w:val="22"/>
                <w:lang w:eastAsia="es-MX"/>
                <w14:ligatures w14:val="none"/>
              </w:rPr>
              <w:t>), prorrogable a solicitud de SADM, por un periodo igual (el “</w:t>
            </w:r>
            <w:r w:rsidRPr="00590E99">
              <w:rPr>
                <w:rFonts w:ascii="Arial" w:eastAsia="Arial" w:hAnsi="Arial" w:cs="Arial"/>
                <w:kern w:val="0"/>
                <w:sz w:val="22"/>
                <w:szCs w:val="22"/>
                <w:u w:val="single"/>
                <w:lang w:eastAsia="es-MX"/>
                <w14:ligatures w14:val="none"/>
              </w:rPr>
              <w:t>Periodo de Disposición</w:t>
            </w:r>
            <w:r w:rsidRPr="00590E99">
              <w:rPr>
                <w:rFonts w:ascii="Arial" w:eastAsia="Arial" w:hAnsi="Arial" w:cs="Arial"/>
                <w:kern w:val="0"/>
                <w:sz w:val="22"/>
                <w:szCs w:val="22"/>
                <w:lang w:eastAsia="es-MX"/>
                <w14:ligatures w14:val="none"/>
              </w:rPr>
              <w:t xml:space="preserve">”) </w:t>
            </w:r>
            <w:r w:rsidRPr="00590E99">
              <w:rPr>
                <w:rFonts w:ascii="Arial" w:eastAsia="Arial" w:hAnsi="Arial" w:cs="Arial"/>
                <w:kern w:val="0"/>
                <w:sz w:val="22"/>
                <w:szCs w:val="22"/>
                <w:lang w:eastAsia="es-MX"/>
                <w14:ligatures w14:val="none"/>
              </w:rPr>
              <w:tab/>
              <w:t>.</w:t>
            </w:r>
          </w:p>
          <w:p w14:paraId="668FC434" w14:textId="77777777" w:rsidR="00590E99" w:rsidRPr="00590E99" w:rsidRDefault="00000000" w:rsidP="00590E99">
            <w:pPr>
              <w:spacing w:before="240" w:after="0" w:line="276" w:lineRule="auto"/>
              <w:jc w:val="both"/>
              <w:rPr>
                <w:rFonts w:ascii="Arial" w:eastAsia="Arial" w:hAnsi="Arial" w:cs="Arial"/>
                <w:kern w:val="0"/>
                <w:sz w:val="22"/>
                <w:szCs w:val="22"/>
                <w:lang w:eastAsia="es-MX"/>
                <w14:ligatures w14:val="none"/>
              </w:rPr>
            </w:pPr>
            <w:r w:rsidRPr="00590E99">
              <w:rPr>
                <w:rFonts w:ascii="Arial" w:eastAsia="Arial" w:hAnsi="Arial" w:cs="Arial"/>
                <w:kern w:val="0"/>
                <w:sz w:val="22"/>
                <w:szCs w:val="22"/>
                <w:lang w:eastAsia="es-MX"/>
                <w14:ligatures w14:val="none"/>
              </w:rPr>
              <w:t>En el supuesto de que SADM no disponga de los recursos del crédito dentro del Periodo de Disposición, el acreditante prorrogará dicho plazo las veces que sea necesario y en cada ocasión hasta por un periodo igual al originalmente otorgado para ello; lo anterior, siempre y cuando, previamente al vencimiento, el acreditado solicite la prórroga al acreditante mediante escrito firmado por un funcionario legalmente facultado de SADM. Lo anterior en el entendido que en todo caso la disposición deberá ocurrir durante el año 2025.</w:t>
            </w:r>
          </w:p>
        </w:tc>
      </w:tr>
      <w:tr w:rsidR="00DA57A7" w14:paraId="5F4E425E" w14:textId="77777777" w:rsidTr="00F97D5C">
        <w:trPr>
          <w:trHeight w:val="601"/>
        </w:trPr>
        <w:tc>
          <w:tcPr>
            <w:tcW w:w="0" w:type="auto"/>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C4CC4CC" w14:textId="77777777" w:rsidR="00590E99" w:rsidRPr="00590E99" w:rsidRDefault="00000000" w:rsidP="00590E99">
            <w:pPr>
              <w:spacing w:after="0" w:line="276" w:lineRule="auto"/>
              <w:jc w:val="both"/>
              <w:rPr>
                <w:rFonts w:ascii="Arial" w:eastAsia="Arial" w:hAnsi="Arial" w:cs="Arial"/>
                <w:kern w:val="0"/>
                <w:sz w:val="22"/>
                <w:szCs w:val="22"/>
                <w:lang w:eastAsia="es-MX"/>
                <w14:ligatures w14:val="none"/>
              </w:rPr>
            </w:pPr>
            <w:r w:rsidRPr="00590E99">
              <w:rPr>
                <w:rFonts w:ascii="Arial" w:eastAsia="Arial" w:hAnsi="Arial" w:cs="Arial"/>
                <w:kern w:val="0"/>
                <w:sz w:val="22"/>
                <w:szCs w:val="22"/>
                <w:lang w:eastAsia="es-MX"/>
                <w14:ligatures w14:val="none"/>
              </w:rPr>
              <w:t>Periodicidad del pago de los intereses:</w:t>
            </w:r>
          </w:p>
        </w:tc>
        <w:tc>
          <w:tcPr>
            <w:tcW w:w="0" w:type="auto"/>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826B082" w14:textId="77777777" w:rsidR="00590E99" w:rsidRPr="00590E99" w:rsidRDefault="00000000" w:rsidP="00590E99">
            <w:pPr>
              <w:spacing w:after="0" w:line="276" w:lineRule="auto"/>
              <w:jc w:val="both"/>
              <w:rPr>
                <w:rFonts w:ascii="Arial" w:eastAsia="Arial" w:hAnsi="Arial" w:cs="Arial"/>
                <w:kern w:val="0"/>
                <w:sz w:val="22"/>
                <w:szCs w:val="22"/>
                <w:lang w:eastAsia="es-MX"/>
                <w14:ligatures w14:val="none"/>
              </w:rPr>
            </w:pPr>
            <w:r w:rsidRPr="00590E99">
              <w:rPr>
                <w:rFonts w:ascii="Arial" w:eastAsia="Arial" w:hAnsi="Arial" w:cs="Arial"/>
                <w:kern w:val="0"/>
                <w:sz w:val="22"/>
                <w:szCs w:val="22"/>
                <w:lang w:eastAsia="es-MX"/>
                <w14:ligatures w14:val="none"/>
              </w:rPr>
              <w:t>Mensual.</w:t>
            </w:r>
          </w:p>
        </w:tc>
      </w:tr>
      <w:tr w:rsidR="00DA57A7" w14:paraId="1AF195A3" w14:textId="77777777" w:rsidTr="00F97D5C">
        <w:trPr>
          <w:trHeight w:val="705"/>
        </w:trPr>
        <w:tc>
          <w:tcPr>
            <w:tcW w:w="0" w:type="auto"/>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854F381" w14:textId="77777777" w:rsidR="00590E99" w:rsidRPr="00590E99" w:rsidRDefault="00000000" w:rsidP="00590E99">
            <w:pPr>
              <w:spacing w:after="0" w:line="276" w:lineRule="auto"/>
              <w:jc w:val="both"/>
              <w:rPr>
                <w:rFonts w:ascii="Arial" w:eastAsia="Arial" w:hAnsi="Arial" w:cs="Arial"/>
                <w:kern w:val="0"/>
                <w:sz w:val="22"/>
                <w:szCs w:val="22"/>
                <w:lang w:eastAsia="es-MX"/>
                <w14:ligatures w14:val="none"/>
              </w:rPr>
            </w:pPr>
            <w:r w:rsidRPr="00590E99">
              <w:rPr>
                <w:rFonts w:ascii="Arial" w:eastAsia="Arial" w:hAnsi="Arial" w:cs="Arial"/>
                <w:kern w:val="0"/>
                <w:sz w:val="22"/>
                <w:szCs w:val="22"/>
                <w:lang w:eastAsia="es-MX"/>
                <w14:ligatures w14:val="none"/>
              </w:rPr>
              <w:t>Condiciones de la disposición:</w:t>
            </w:r>
          </w:p>
        </w:tc>
        <w:tc>
          <w:tcPr>
            <w:tcW w:w="0" w:type="auto"/>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E0E7028" w14:textId="77777777" w:rsidR="00590E99" w:rsidRPr="00590E99" w:rsidRDefault="00000000" w:rsidP="00590E99">
            <w:pPr>
              <w:spacing w:after="0" w:line="276" w:lineRule="auto"/>
              <w:jc w:val="both"/>
              <w:rPr>
                <w:rFonts w:ascii="Arial" w:eastAsia="Arial" w:hAnsi="Arial" w:cs="Arial"/>
                <w:kern w:val="0"/>
                <w:sz w:val="22"/>
                <w:szCs w:val="22"/>
                <w:lang w:eastAsia="es-MX"/>
                <w14:ligatures w14:val="none"/>
              </w:rPr>
            </w:pPr>
            <w:r w:rsidRPr="00590E99">
              <w:rPr>
                <w:rFonts w:ascii="Arial" w:eastAsia="Arial" w:hAnsi="Arial" w:cs="Arial"/>
                <w:kern w:val="0"/>
                <w:sz w:val="22"/>
                <w:szCs w:val="22"/>
                <w:lang w:eastAsia="es-MX"/>
                <w14:ligatures w14:val="none"/>
              </w:rPr>
              <w:t xml:space="preserve">Serán las que se establezcan en los Modelos de Contratos de Crédito que se adjuntan a las Bases de la Licitación como </w:t>
            </w:r>
            <w:r w:rsidRPr="00590E99">
              <w:rPr>
                <w:rFonts w:ascii="Arial" w:eastAsia="Arial" w:hAnsi="Arial" w:cs="Arial"/>
                <w:b/>
                <w:kern w:val="0"/>
                <w:sz w:val="22"/>
                <w:szCs w:val="22"/>
                <w:lang w:eastAsia="es-MX"/>
                <w14:ligatures w14:val="none"/>
              </w:rPr>
              <w:t>Anexo A1</w:t>
            </w:r>
            <w:r w:rsidRPr="00590E99">
              <w:rPr>
                <w:rFonts w:ascii="Arial" w:eastAsia="Arial" w:hAnsi="Arial" w:cs="Arial"/>
                <w:kern w:val="0"/>
                <w:sz w:val="22"/>
                <w:szCs w:val="22"/>
                <w:lang w:eastAsia="es-MX"/>
                <w14:ligatures w14:val="none"/>
              </w:rPr>
              <w:t xml:space="preserve"> (</w:t>
            </w:r>
            <w:r w:rsidRPr="00590E99">
              <w:rPr>
                <w:rFonts w:ascii="Arial" w:eastAsia="Arial" w:hAnsi="Arial" w:cs="Arial"/>
                <w:i/>
                <w:kern w:val="0"/>
                <w:sz w:val="22"/>
                <w:szCs w:val="22"/>
                <w:lang w:eastAsia="es-MX"/>
                <w14:ligatures w14:val="none"/>
              </w:rPr>
              <w:t>Modelo de Contrato para Refinanciamiento y/o Reestructura</w:t>
            </w:r>
            <w:r w:rsidRPr="00590E99">
              <w:rPr>
                <w:rFonts w:ascii="Arial" w:eastAsia="Arial" w:hAnsi="Arial" w:cs="Arial"/>
                <w:kern w:val="0"/>
                <w:sz w:val="22"/>
                <w:szCs w:val="22"/>
                <w:lang w:eastAsia="es-MX"/>
                <w14:ligatures w14:val="none"/>
              </w:rPr>
              <w:t xml:space="preserve">) y </w:t>
            </w:r>
            <w:r w:rsidRPr="00590E99">
              <w:rPr>
                <w:rFonts w:ascii="Arial" w:eastAsia="Arial" w:hAnsi="Arial" w:cs="Arial"/>
                <w:b/>
                <w:kern w:val="0"/>
                <w:sz w:val="22"/>
                <w:szCs w:val="22"/>
                <w:lang w:eastAsia="es-MX"/>
                <w14:ligatures w14:val="none"/>
              </w:rPr>
              <w:t>Anexo A2</w:t>
            </w:r>
            <w:r w:rsidRPr="00590E99">
              <w:rPr>
                <w:rFonts w:ascii="Arial" w:eastAsia="Arial" w:hAnsi="Arial" w:cs="Arial"/>
                <w:kern w:val="0"/>
                <w:sz w:val="22"/>
                <w:szCs w:val="22"/>
                <w:lang w:eastAsia="es-MX"/>
                <w14:ligatures w14:val="none"/>
              </w:rPr>
              <w:t xml:space="preserve"> (</w:t>
            </w:r>
            <w:r w:rsidRPr="00590E99">
              <w:rPr>
                <w:rFonts w:ascii="Arial" w:eastAsia="Arial" w:hAnsi="Arial" w:cs="Arial"/>
                <w:i/>
                <w:kern w:val="0"/>
                <w:sz w:val="22"/>
                <w:szCs w:val="22"/>
                <w:lang w:eastAsia="es-MX"/>
                <w14:ligatures w14:val="none"/>
              </w:rPr>
              <w:t>Modelo de Contrato para el Nuevo Financiamiento</w:t>
            </w:r>
            <w:r w:rsidRPr="00590E99">
              <w:rPr>
                <w:rFonts w:ascii="Arial" w:eastAsia="Arial" w:hAnsi="Arial" w:cs="Arial"/>
                <w:kern w:val="0"/>
                <w:sz w:val="22"/>
                <w:szCs w:val="22"/>
                <w:lang w:eastAsia="es-MX"/>
                <w14:ligatures w14:val="none"/>
              </w:rPr>
              <w:t>).</w:t>
            </w:r>
          </w:p>
        </w:tc>
      </w:tr>
      <w:tr w:rsidR="00DA57A7" w14:paraId="6D439262" w14:textId="77777777" w:rsidTr="00F97D5C">
        <w:trPr>
          <w:trHeight w:val="520"/>
        </w:trPr>
        <w:tc>
          <w:tcPr>
            <w:tcW w:w="0" w:type="auto"/>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1063F4B" w14:textId="77777777" w:rsidR="00590E99" w:rsidRPr="00590E99" w:rsidRDefault="00000000" w:rsidP="00590E99">
            <w:pPr>
              <w:spacing w:after="0" w:line="276" w:lineRule="auto"/>
              <w:jc w:val="both"/>
              <w:rPr>
                <w:rFonts w:ascii="Arial" w:eastAsia="Arial" w:hAnsi="Arial" w:cs="Arial"/>
                <w:kern w:val="0"/>
                <w:sz w:val="22"/>
                <w:szCs w:val="22"/>
                <w:lang w:eastAsia="es-MX"/>
                <w14:ligatures w14:val="none"/>
              </w:rPr>
            </w:pPr>
            <w:r w:rsidRPr="00590E99">
              <w:rPr>
                <w:rFonts w:ascii="Arial" w:eastAsia="Arial" w:hAnsi="Arial" w:cs="Arial"/>
                <w:kern w:val="0"/>
                <w:sz w:val="22"/>
                <w:szCs w:val="22"/>
                <w:lang w:eastAsia="es-MX"/>
                <w14:ligatures w14:val="none"/>
              </w:rPr>
              <w:t>Oportunidad de entrega de los recursos:</w:t>
            </w:r>
          </w:p>
          <w:p w14:paraId="27B6F91D" w14:textId="77777777" w:rsidR="00590E99" w:rsidRPr="00590E99" w:rsidRDefault="00590E99" w:rsidP="00590E99">
            <w:pPr>
              <w:spacing w:after="0" w:line="276" w:lineRule="auto"/>
              <w:jc w:val="both"/>
              <w:rPr>
                <w:rFonts w:ascii="Arial" w:eastAsia="Arial" w:hAnsi="Arial" w:cs="Arial"/>
                <w:kern w:val="0"/>
                <w:sz w:val="22"/>
                <w:szCs w:val="22"/>
                <w:lang w:eastAsia="es-MX"/>
                <w14:ligatures w14:val="none"/>
              </w:rPr>
            </w:pPr>
          </w:p>
          <w:p w14:paraId="317F9159" w14:textId="77777777" w:rsidR="00590E99" w:rsidRPr="00590E99" w:rsidRDefault="00590E99" w:rsidP="00590E99">
            <w:pPr>
              <w:spacing w:after="0" w:line="276" w:lineRule="auto"/>
              <w:jc w:val="both"/>
              <w:rPr>
                <w:rFonts w:ascii="Arial" w:eastAsia="Arial" w:hAnsi="Arial" w:cs="Arial"/>
                <w:kern w:val="0"/>
                <w:sz w:val="22"/>
                <w:szCs w:val="22"/>
                <w:lang w:eastAsia="es-MX"/>
                <w14:ligatures w14:val="none"/>
              </w:rPr>
            </w:pPr>
          </w:p>
          <w:p w14:paraId="05F7C593" w14:textId="77777777" w:rsidR="00590E99" w:rsidRPr="00590E99" w:rsidRDefault="00590E99" w:rsidP="00590E99">
            <w:pPr>
              <w:spacing w:after="0" w:line="276" w:lineRule="auto"/>
              <w:jc w:val="both"/>
              <w:rPr>
                <w:rFonts w:ascii="Arial" w:eastAsia="Arial" w:hAnsi="Arial" w:cs="Arial"/>
                <w:kern w:val="0"/>
                <w:sz w:val="22"/>
                <w:szCs w:val="22"/>
                <w:lang w:eastAsia="es-MX"/>
                <w14:ligatures w14:val="none"/>
              </w:rPr>
            </w:pPr>
          </w:p>
          <w:p w14:paraId="0D633B66" w14:textId="77777777" w:rsidR="00590E99" w:rsidRPr="00590E99" w:rsidRDefault="00590E99" w:rsidP="00590E99">
            <w:pPr>
              <w:spacing w:after="0" w:line="276" w:lineRule="auto"/>
              <w:jc w:val="both"/>
              <w:rPr>
                <w:rFonts w:ascii="Arial" w:eastAsia="Arial" w:hAnsi="Arial" w:cs="Arial"/>
                <w:kern w:val="0"/>
                <w:sz w:val="22"/>
                <w:szCs w:val="22"/>
                <w:lang w:eastAsia="es-MX"/>
                <w14:ligatures w14:val="none"/>
              </w:rPr>
            </w:pPr>
          </w:p>
          <w:p w14:paraId="32EA64DD" w14:textId="77777777" w:rsidR="00590E99" w:rsidRPr="00590E99" w:rsidRDefault="00590E99" w:rsidP="00590E99">
            <w:pPr>
              <w:spacing w:after="0" w:line="276" w:lineRule="auto"/>
              <w:jc w:val="both"/>
              <w:rPr>
                <w:rFonts w:ascii="Arial" w:eastAsia="Arial" w:hAnsi="Arial" w:cs="Arial"/>
                <w:kern w:val="0"/>
                <w:sz w:val="22"/>
                <w:szCs w:val="22"/>
                <w:lang w:eastAsia="es-MX"/>
                <w14:ligatures w14:val="none"/>
              </w:rPr>
            </w:pPr>
          </w:p>
        </w:tc>
        <w:tc>
          <w:tcPr>
            <w:tcW w:w="0" w:type="auto"/>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52C3D96" w14:textId="77777777" w:rsidR="00590E99" w:rsidRPr="00590E99" w:rsidRDefault="00000000" w:rsidP="00590E99">
            <w:pPr>
              <w:spacing w:after="0" w:line="276" w:lineRule="auto"/>
              <w:jc w:val="both"/>
              <w:rPr>
                <w:rFonts w:ascii="Arial" w:eastAsia="Arial" w:hAnsi="Arial" w:cs="Arial"/>
                <w:kern w:val="0"/>
                <w:sz w:val="22"/>
                <w:szCs w:val="22"/>
                <w:lang w:eastAsia="es-MX"/>
                <w14:ligatures w14:val="none"/>
              </w:rPr>
            </w:pPr>
            <w:r w:rsidRPr="00590E99">
              <w:rPr>
                <w:rFonts w:ascii="Arial" w:eastAsia="Arial" w:hAnsi="Arial" w:cs="Arial"/>
                <w:kern w:val="0"/>
                <w:sz w:val="22"/>
                <w:szCs w:val="22"/>
                <w:lang w:eastAsia="es-MX"/>
                <w14:ligatures w14:val="none"/>
              </w:rPr>
              <w:t xml:space="preserve">Los recursos del crédito correspondiente se pondrán a disposición de SADM dentro de los 5 (cinco) días hábiles siguientes a la entrega de la solicitud de disposición por parte de SADM. Lo anterior a partir de que se hayan cumplido las condiciones de disposición previstas en los Modelos de Contratos de Crédito que se adjuntan a las Bases de la Licitación como </w:t>
            </w:r>
            <w:r w:rsidRPr="00590E99">
              <w:rPr>
                <w:rFonts w:ascii="Arial" w:eastAsia="Arial" w:hAnsi="Arial" w:cs="Arial"/>
                <w:b/>
                <w:kern w:val="0"/>
                <w:sz w:val="22"/>
                <w:szCs w:val="22"/>
                <w:lang w:eastAsia="es-MX"/>
                <w14:ligatures w14:val="none"/>
              </w:rPr>
              <w:t>Anexo A1</w:t>
            </w:r>
            <w:r w:rsidRPr="00590E99">
              <w:rPr>
                <w:rFonts w:ascii="Arial" w:eastAsia="Arial" w:hAnsi="Arial" w:cs="Arial"/>
                <w:kern w:val="0"/>
                <w:sz w:val="22"/>
                <w:szCs w:val="22"/>
                <w:lang w:eastAsia="es-MX"/>
                <w14:ligatures w14:val="none"/>
              </w:rPr>
              <w:t xml:space="preserve"> (</w:t>
            </w:r>
            <w:r w:rsidRPr="00590E99">
              <w:rPr>
                <w:rFonts w:ascii="Arial" w:eastAsia="Arial" w:hAnsi="Arial" w:cs="Arial"/>
                <w:i/>
                <w:kern w:val="0"/>
                <w:sz w:val="22"/>
                <w:szCs w:val="22"/>
                <w:lang w:eastAsia="es-MX"/>
                <w14:ligatures w14:val="none"/>
              </w:rPr>
              <w:t>Modelo de Contrato para Refinanciamiento y/o Reestructura</w:t>
            </w:r>
            <w:r w:rsidRPr="00590E99">
              <w:rPr>
                <w:rFonts w:ascii="Arial" w:eastAsia="Arial" w:hAnsi="Arial" w:cs="Arial"/>
                <w:kern w:val="0"/>
                <w:sz w:val="22"/>
                <w:szCs w:val="22"/>
                <w:lang w:eastAsia="es-MX"/>
                <w14:ligatures w14:val="none"/>
              </w:rPr>
              <w:t xml:space="preserve">) y </w:t>
            </w:r>
            <w:r w:rsidRPr="00590E99">
              <w:rPr>
                <w:rFonts w:ascii="Arial" w:eastAsia="Arial" w:hAnsi="Arial" w:cs="Arial"/>
                <w:b/>
                <w:kern w:val="0"/>
                <w:sz w:val="22"/>
                <w:szCs w:val="22"/>
                <w:lang w:eastAsia="es-MX"/>
                <w14:ligatures w14:val="none"/>
              </w:rPr>
              <w:t>Anexo A2</w:t>
            </w:r>
            <w:r w:rsidRPr="00590E99">
              <w:rPr>
                <w:rFonts w:ascii="Arial" w:eastAsia="Arial" w:hAnsi="Arial" w:cs="Arial"/>
                <w:kern w:val="0"/>
                <w:sz w:val="22"/>
                <w:szCs w:val="22"/>
                <w:lang w:eastAsia="es-MX"/>
                <w14:ligatures w14:val="none"/>
              </w:rPr>
              <w:t xml:space="preserve"> (</w:t>
            </w:r>
            <w:r w:rsidRPr="00590E99">
              <w:rPr>
                <w:rFonts w:ascii="Arial" w:eastAsia="Arial" w:hAnsi="Arial" w:cs="Arial"/>
                <w:i/>
                <w:kern w:val="0"/>
                <w:sz w:val="22"/>
                <w:szCs w:val="22"/>
                <w:lang w:eastAsia="es-MX"/>
                <w14:ligatures w14:val="none"/>
              </w:rPr>
              <w:t>Modelo de Contrato para el Nuevo Financiamiento</w:t>
            </w:r>
            <w:r w:rsidRPr="00590E99">
              <w:rPr>
                <w:rFonts w:ascii="Arial" w:eastAsia="Arial" w:hAnsi="Arial" w:cs="Arial"/>
                <w:kern w:val="0"/>
                <w:sz w:val="22"/>
                <w:szCs w:val="22"/>
                <w:lang w:eastAsia="es-MX"/>
                <w14:ligatures w14:val="none"/>
              </w:rPr>
              <w:t>) y dentro del Periodo de Disposición.</w:t>
            </w:r>
          </w:p>
        </w:tc>
      </w:tr>
      <w:tr w:rsidR="00DA57A7" w14:paraId="2039F139" w14:textId="77777777" w:rsidTr="00F97D5C">
        <w:trPr>
          <w:trHeight w:val="520"/>
        </w:trPr>
        <w:tc>
          <w:tcPr>
            <w:tcW w:w="0" w:type="auto"/>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453B336" w14:textId="77777777" w:rsidR="00590E99" w:rsidRPr="00590E99" w:rsidRDefault="00000000" w:rsidP="00590E99">
            <w:pPr>
              <w:spacing w:after="0" w:line="276" w:lineRule="auto"/>
              <w:jc w:val="both"/>
              <w:rPr>
                <w:rFonts w:ascii="Arial" w:eastAsia="Arial" w:hAnsi="Arial" w:cs="Arial"/>
                <w:kern w:val="0"/>
                <w:sz w:val="22"/>
                <w:szCs w:val="22"/>
                <w:lang w:eastAsia="es-MX"/>
                <w14:ligatures w14:val="none"/>
              </w:rPr>
            </w:pPr>
            <w:r w:rsidRPr="00590E99">
              <w:rPr>
                <w:rFonts w:ascii="Arial" w:eastAsia="Arial" w:hAnsi="Arial" w:cs="Arial"/>
                <w:kern w:val="0"/>
                <w:sz w:val="22"/>
                <w:szCs w:val="22"/>
                <w:lang w:eastAsia="es-MX"/>
                <w14:ligatures w14:val="none"/>
              </w:rPr>
              <w:t>Mecanismo de Pago:</w:t>
            </w:r>
          </w:p>
          <w:p w14:paraId="2A0EF0F7" w14:textId="77777777" w:rsidR="00590E99" w:rsidRPr="00590E99" w:rsidRDefault="00590E99" w:rsidP="00590E99">
            <w:pPr>
              <w:spacing w:after="0" w:line="276" w:lineRule="auto"/>
              <w:jc w:val="both"/>
              <w:rPr>
                <w:rFonts w:ascii="Arial" w:eastAsia="Arial" w:hAnsi="Arial" w:cs="Arial"/>
                <w:kern w:val="0"/>
                <w:sz w:val="22"/>
                <w:szCs w:val="22"/>
                <w:lang w:eastAsia="es-MX"/>
                <w14:ligatures w14:val="none"/>
              </w:rPr>
            </w:pPr>
          </w:p>
          <w:p w14:paraId="1A3EFF1C" w14:textId="77777777" w:rsidR="00590E99" w:rsidRPr="00590E99" w:rsidRDefault="00590E99" w:rsidP="00590E99">
            <w:pPr>
              <w:spacing w:after="0" w:line="276" w:lineRule="auto"/>
              <w:jc w:val="both"/>
              <w:rPr>
                <w:rFonts w:ascii="Arial" w:eastAsia="Arial" w:hAnsi="Arial" w:cs="Arial"/>
                <w:kern w:val="0"/>
                <w:sz w:val="22"/>
                <w:szCs w:val="22"/>
                <w:lang w:eastAsia="es-MX"/>
                <w14:ligatures w14:val="none"/>
              </w:rPr>
            </w:pPr>
          </w:p>
          <w:p w14:paraId="7DCDA4AB" w14:textId="77777777" w:rsidR="00590E99" w:rsidRPr="00590E99" w:rsidRDefault="00590E99" w:rsidP="00590E99">
            <w:pPr>
              <w:spacing w:after="0" w:line="276" w:lineRule="auto"/>
              <w:jc w:val="both"/>
              <w:rPr>
                <w:rFonts w:ascii="Arial" w:eastAsia="Arial" w:hAnsi="Arial" w:cs="Arial"/>
                <w:kern w:val="0"/>
                <w:sz w:val="22"/>
                <w:szCs w:val="22"/>
                <w:lang w:eastAsia="es-MX"/>
                <w14:ligatures w14:val="none"/>
              </w:rPr>
            </w:pPr>
          </w:p>
          <w:p w14:paraId="5533299C" w14:textId="77777777" w:rsidR="00590E99" w:rsidRPr="00590E99" w:rsidRDefault="00590E99" w:rsidP="00590E99">
            <w:pPr>
              <w:spacing w:after="0" w:line="276" w:lineRule="auto"/>
              <w:jc w:val="both"/>
              <w:rPr>
                <w:rFonts w:ascii="Arial" w:eastAsia="Arial" w:hAnsi="Arial" w:cs="Arial"/>
                <w:kern w:val="0"/>
                <w:sz w:val="22"/>
                <w:szCs w:val="22"/>
                <w:lang w:eastAsia="es-MX"/>
                <w14:ligatures w14:val="none"/>
              </w:rPr>
            </w:pPr>
          </w:p>
          <w:p w14:paraId="26D01852" w14:textId="77777777" w:rsidR="00590E99" w:rsidRPr="00590E99" w:rsidRDefault="00590E99" w:rsidP="00590E99">
            <w:pPr>
              <w:spacing w:after="0" w:line="276" w:lineRule="auto"/>
              <w:jc w:val="both"/>
              <w:rPr>
                <w:rFonts w:ascii="Arial" w:eastAsia="Arial" w:hAnsi="Arial" w:cs="Arial"/>
                <w:kern w:val="0"/>
                <w:sz w:val="22"/>
                <w:szCs w:val="22"/>
                <w:lang w:eastAsia="es-MX"/>
                <w14:ligatures w14:val="none"/>
              </w:rPr>
            </w:pPr>
          </w:p>
          <w:p w14:paraId="1841C2AE" w14:textId="77777777" w:rsidR="00590E99" w:rsidRPr="00590E99" w:rsidRDefault="00590E99" w:rsidP="00590E99">
            <w:pPr>
              <w:spacing w:after="0" w:line="276" w:lineRule="auto"/>
              <w:jc w:val="both"/>
              <w:rPr>
                <w:rFonts w:ascii="Arial" w:eastAsia="Arial" w:hAnsi="Arial" w:cs="Arial"/>
                <w:kern w:val="0"/>
                <w:sz w:val="22"/>
                <w:szCs w:val="22"/>
                <w:lang w:eastAsia="es-MX"/>
                <w14:ligatures w14:val="none"/>
              </w:rPr>
            </w:pPr>
          </w:p>
          <w:p w14:paraId="2DD64C3A" w14:textId="77777777" w:rsidR="00590E99" w:rsidRPr="00590E99" w:rsidRDefault="00590E99" w:rsidP="00590E99">
            <w:pPr>
              <w:spacing w:after="0" w:line="276" w:lineRule="auto"/>
              <w:jc w:val="both"/>
              <w:rPr>
                <w:rFonts w:ascii="Arial" w:eastAsia="Arial" w:hAnsi="Arial" w:cs="Arial"/>
                <w:kern w:val="0"/>
                <w:sz w:val="22"/>
                <w:szCs w:val="22"/>
                <w:lang w:eastAsia="es-MX"/>
                <w14:ligatures w14:val="none"/>
              </w:rPr>
            </w:pPr>
          </w:p>
          <w:p w14:paraId="11371DB2" w14:textId="77777777" w:rsidR="00590E99" w:rsidRPr="00590E99" w:rsidRDefault="00590E99" w:rsidP="00590E99">
            <w:pPr>
              <w:spacing w:after="0" w:line="276" w:lineRule="auto"/>
              <w:jc w:val="both"/>
              <w:rPr>
                <w:rFonts w:ascii="Arial" w:eastAsia="Arial" w:hAnsi="Arial" w:cs="Arial"/>
                <w:kern w:val="0"/>
                <w:sz w:val="22"/>
                <w:szCs w:val="22"/>
                <w:lang w:eastAsia="es-MX"/>
                <w14:ligatures w14:val="none"/>
              </w:rPr>
            </w:pPr>
          </w:p>
          <w:p w14:paraId="0A7AFA3A" w14:textId="77777777" w:rsidR="00590E99" w:rsidRPr="00590E99" w:rsidRDefault="00590E99" w:rsidP="00590E99">
            <w:pPr>
              <w:spacing w:after="0" w:line="276" w:lineRule="auto"/>
              <w:jc w:val="both"/>
              <w:rPr>
                <w:rFonts w:ascii="Arial" w:eastAsia="Arial" w:hAnsi="Arial" w:cs="Arial"/>
                <w:kern w:val="0"/>
                <w:sz w:val="22"/>
                <w:szCs w:val="22"/>
                <w:lang w:eastAsia="es-MX"/>
                <w14:ligatures w14:val="none"/>
              </w:rPr>
            </w:pPr>
          </w:p>
          <w:p w14:paraId="2ADE3E44" w14:textId="77777777" w:rsidR="00590E99" w:rsidRPr="00590E99" w:rsidRDefault="00590E99" w:rsidP="00590E99">
            <w:pPr>
              <w:spacing w:after="0" w:line="276" w:lineRule="auto"/>
              <w:jc w:val="both"/>
              <w:rPr>
                <w:rFonts w:ascii="Arial" w:eastAsia="Arial" w:hAnsi="Arial" w:cs="Arial"/>
                <w:kern w:val="0"/>
                <w:sz w:val="22"/>
                <w:szCs w:val="22"/>
                <w:lang w:eastAsia="es-MX"/>
                <w14:ligatures w14:val="none"/>
              </w:rPr>
            </w:pPr>
          </w:p>
          <w:p w14:paraId="2B077D36" w14:textId="77777777" w:rsidR="00590E99" w:rsidRPr="00590E99" w:rsidRDefault="00590E99" w:rsidP="00590E99">
            <w:pPr>
              <w:spacing w:after="0" w:line="276" w:lineRule="auto"/>
              <w:jc w:val="both"/>
              <w:rPr>
                <w:rFonts w:ascii="Arial" w:eastAsia="Arial" w:hAnsi="Arial" w:cs="Arial"/>
                <w:kern w:val="0"/>
                <w:sz w:val="22"/>
                <w:szCs w:val="22"/>
                <w:lang w:eastAsia="es-MX"/>
                <w14:ligatures w14:val="none"/>
              </w:rPr>
            </w:pPr>
          </w:p>
        </w:tc>
        <w:tc>
          <w:tcPr>
            <w:tcW w:w="0" w:type="auto"/>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95B5788" w14:textId="77777777" w:rsidR="00590E99" w:rsidRPr="00590E99" w:rsidRDefault="00000000" w:rsidP="00590E99">
            <w:pPr>
              <w:spacing w:after="0" w:line="276" w:lineRule="auto"/>
              <w:jc w:val="both"/>
              <w:rPr>
                <w:rFonts w:ascii="Arial" w:eastAsia="Arial" w:hAnsi="Arial" w:cs="Arial"/>
                <w:kern w:val="0"/>
                <w:sz w:val="22"/>
                <w:szCs w:val="22"/>
                <w:lang w:eastAsia="es-MX"/>
                <w14:ligatures w14:val="none"/>
              </w:rPr>
            </w:pPr>
            <w:r w:rsidRPr="00590E99">
              <w:rPr>
                <w:rFonts w:ascii="Arial" w:eastAsia="Arial" w:hAnsi="Arial" w:cs="Arial"/>
                <w:kern w:val="0"/>
                <w:sz w:val="22"/>
                <w:szCs w:val="22"/>
                <w:lang w:eastAsia="es-MX"/>
                <w14:ligatures w14:val="none"/>
              </w:rPr>
              <w:lastRenderedPageBreak/>
              <w:t xml:space="preserve">Como mecanismo de fuente de pago del o los Financiamientos se empleará el Contrato de Fideicomiso Maestro Irrevocable de Administración y Pago número 025517-9 (1050), de fecha 19 de abril de 2007 celebrado entre SADM como fideicomitente y fideicomisario en segundo lugar, y Casa de Bolsa Banorte, S.A. de C.V. (hoy Banco </w:t>
            </w:r>
            <w:r w:rsidRPr="00590E99">
              <w:rPr>
                <w:rFonts w:ascii="Arial" w:eastAsia="Arial" w:hAnsi="Arial" w:cs="Arial"/>
                <w:kern w:val="0"/>
                <w:sz w:val="22"/>
                <w:szCs w:val="22"/>
                <w:lang w:eastAsia="es-MX"/>
                <w14:ligatures w14:val="none"/>
              </w:rPr>
              <w:lastRenderedPageBreak/>
              <w:t>Mercantil del Norte, S.A., Institución de Banca Múltiple, Grupo Financiero Banorte, División Fiduciaria) como fiduciario, y sus convenios modificatorios de fechas 25 de marzo de 2009, 17 de diciembre de 2010, 9 de mayo de 2012, 3 de julio de 2020 y 7 de diciembre de 2022, según el mismo se modifique de tiempo en tiempo, mismo que se incluye como</w:t>
            </w:r>
            <w:r w:rsidRPr="00590E99">
              <w:rPr>
                <w:rFonts w:ascii="Arial" w:eastAsia="Arial" w:hAnsi="Arial" w:cs="Arial"/>
                <w:b/>
                <w:kern w:val="0"/>
                <w:sz w:val="22"/>
                <w:szCs w:val="22"/>
                <w:lang w:eastAsia="es-MX"/>
                <w14:ligatures w14:val="none"/>
              </w:rPr>
              <w:t xml:space="preserve"> Anexo “G” </w:t>
            </w:r>
            <w:r w:rsidRPr="00590E99">
              <w:rPr>
                <w:rFonts w:ascii="Arial" w:eastAsia="Arial" w:hAnsi="Arial" w:cs="Arial"/>
                <w:kern w:val="0"/>
                <w:sz w:val="22"/>
                <w:szCs w:val="22"/>
                <w:lang w:eastAsia="es-MX"/>
                <w14:ligatures w14:val="none"/>
              </w:rPr>
              <w:t>en las Bases de la Licitación Pública.</w:t>
            </w:r>
          </w:p>
        </w:tc>
      </w:tr>
      <w:tr w:rsidR="00DA57A7" w14:paraId="2109CCC3" w14:textId="77777777" w:rsidTr="00F97D5C">
        <w:trPr>
          <w:trHeight w:val="880"/>
        </w:trPr>
        <w:tc>
          <w:tcPr>
            <w:tcW w:w="0" w:type="auto"/>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9E7D200" w14:textId="77777777" w:rsidR="00590E99" w:rsidRPr="00590E99" w:rsidRDefault="00000000" w:rsidP="00590E99">
            <w:pPr>
              <w:spacing w:after="0" w:line="276" w:lineRule="auto"/>
              <w:jc w:val="both"/>
              <w:rPr>
                <w:rFonts w:ascii="Arial" w:eastAsia="Arial" w:hAnsi="Arial" w:cs="Arial"/>
                <w:kern w:val="0"/>
                <w:sz w:val="22"/>
                <w:szCs w:val="22"/>
                <w:lang w:eastAsia="es-MX"/>
                <w14:ligatures w14:val="none"/>
              </w:rPr>
            </w:pPr>
            <w:r w:rsidRPr="00590E99">
              <w:rPr>
                <w:rFonts w:ascii="Arial" w:eastAsia="Arial" w:hAnsi="Arial" w:cs="Arial"/>
                <w:kern w:val="0"/>
                <w:sz w:val="22"/>
                <w:szCs w:val="22"/>
                <w:lang w:eastAsia="es-MX"/>
                <w14:ligatures w14:val="none"/>
              </w:rPr>
              <w:t>Fuente de Pago del Financiamiento:</w:t>
            </w:r>
          </w:p>
          <w:p w14:paraId="7D702FF9" w14:textId="77777777" w:rsidR="00590E99" w:rsidRPr="00590E99" w:rsidRDefault="00590E99" w:rsidP="00590E99">
            <w:pPr>
              <w:spacing w:after="0" w:line="276" w:lineRule="auto"/>
              <w:jc w:val="both"/>
              <w:rPr>
                <w:rFonts w:ascii="Arial" w:eastAsia="Arial" w:hAnsi="Arial" w:cs="Arial"/>
                <w:kern w:val="0"/>
                <w:sz w:val="22"/>
                <w:szCs w:val="22"/>
                <w:lang w:eastAsia="es-MX"/>
                <w14:ligatures w14:val="none"/>
              </w:rPr>
            </w:pPr>
          </w:p>
          <w:p w14:paraId="53ED6BD3" w14:textId="77777777" w:rsidR="00590E99" w:rsidRPr="00590E99" w:rsidRDefault="00590E99" w:rsidP="00590E99">
            <w:pPr>
              <w:spacing w:after="0" w:line="276" w:lineRule="auto"/>
              <w:jc w:val="both"/>
              <w:rPr>
                <w:rFonts w:ascii="Arial" w:eastAsia="Arial" w:hAnsi="Arial" w:cs="Arial"/>
                <w:kern w:val="0"/>
                <w:sz w:val="22"/>
                <w:szCs w:val="22"/>
                <w:lang w:eastAsia="es-MX"/>
                <w14:ligatures w14:val="none"/>
              </w:rPr>
            </w:pPr>
          </w:p>
          <w:p w14:paraId="564E6DF8" w14:textId="77777777" w:rsidR="00590E99" w:rsidRPr="00590E99" w:rsidRDefault="00590E99" w:rsidP="00590E99">
            <w:pPr>
              <w:spacing w:after="0" w:line="276" w:lineRule="auto"/>
              <w:jc w:val="both"/>
              <w:rPr>
                <w:rFonts w:ascii="Arial" w:eastAsia="Arial" w:hAnsi="Arial" w:cs="Arial"/>
                <w:kern w:val="0"/>
                <w:sz w:val="22"/>
                <w:szCs w:val="22"/>
                <w:lang w:eastAsia="es-MX"/>
                <w14:ligatures w14:val="none"/>
              </w:rPr>
            </w:pPr>
          </w:p>
          <w:p w14:paraId="19DDA7A6" w14:textId="77777777" w:rsidR="00590E99" w:rsidRPr="00590E99" w:rsidRDefault="00590E99" w:rsidP="00590E99">
            <w:pPr>
              <w:spacing w:after="0" w:line="276" w:lineRule="auto"/>
              <w:jc w:val="both"/>
              <w:rPr>
                <w:rFonts w:ascii="Arial" w:eastAsia="Arial" w:hAnsi="Arial" w:cs="Arial"/>
                <w:kern w:val="0"/>
                <w:sz w:val="22"/>
                <w:szCs w:val="22"/>
                <w:lang w:eastAsia="es-MX"/>
                <w14:ligatures w14:val="none"/>
              </w:rPr>
            </w:pPr>
          </w:p>
          <w:p w14:paraId="67755C00" w14:textId="77777777" w:rsidR="00590E99" w:rsidRPr="00590E99" w:rsidRDefault="00590E99" w:rsidP="00590E99">
            <w:pPr>
              <w:spacing w:after="0" w:line="276" w:lineRule="auto"/>
              <w:jc w:val="both"/>
              <w:rPr>
                <w:rFonts w:ascii="Arial" w:eastAsia="Arial" w:hAnsi="Arial" w:cs="Arial"/>
                <w:kern w:val="0"/>
                <w:sz w:val="22"/>
                <w:szCs w:val="22"/>
                <w:lang w:eastAsia="es-MX"/>
                <w14:ligatures w14:val="none"/>
              </w:rPr>
            </w:pPr>
          </w:p>
          <w:p w14:paraId="1C575DE5" w14:textId="77777777" w:rsidR="00590E99" w:rsidRPr="00590E99" w:rsidRDefault="00590E99" w:rsidP="00590E99">
            <w:pPr>
              <w:spacing w:after="0" w:line="276" w:lineRule="auto"/>
              <w:jc w:val="both"/>
              <w:rPr>
                <w:rFonts w:ascii="Arial" w:eastAsia="Arial" w:hAnsi="Arial" w:cs="Arial"/>
                <w:kern w:val="0"/>
                <w:sz w:val="22"/>
                <w:szCs w:val="22"/>
                <w:lang w:eastAsia="es-MX"/>
                <w14:ligatures w14:val="none"/>
              </w:rPr>
            </w:pPr>
          </w:p>
          <w:p w14:paraId="5EB9D143" w14:textId="77777777" w:rsidR="00590E99" w:rsidRPr="00590E99" w:rsidRDefault="00590E99" w:rsidP="00590E99">
            <w:pPr>
              <w:spacing w:after="0" w:line="276" w:lineRule="auto"/>
              <w:jc w:val="both"/>
              <w:rPr>
                <w:rFonts w:ascii="Arial" w:eastAsia="Arial" w:hAnsi="Arial" w:cs="Arial"/>
                <w:kern w:val="0"/>
                <w:sz w:val="22"/>
                <w:szCs w:val="22"/>
                <w:lang w:eastAsia="es-MX"/>
                <w14:ligatures w14:val="none"/>
              </w:rPr>
            </w:pPr>
          </w:p>
          <w:p w14:paraId="199DE497" w14:textId="77777777" w:rsidR="00590E99" w:rsidRPr="00590E99" w:rsidRDefault="00590E99" w:rsidP="00590E99">
            <w:pPr>
              <w:spacing w:after="0" w:line="276" w:lineRule="auto"/>
              <w:jc w:val="both"/>
              <w:rPr>
                <w:rFonts w:ascii="Arial" w:eastAsia="Arial" w:hAnsi="Arial" w:cs="Arial"/>
                <w:kern w:val="0"/>
                <w:sz w:val="22"/>
                <w:szCs w:val="22"/>
                <w:lang w:eastAsia="es-MX"/>
                <w14:ligatures w14:val="none"/>
              </w:rPr>
            </w:pPr>
          </w:p>
          <w:p w14:paraId="595721E3" w14:textId="77777777" w:rsidR="00590E99" w:rsidRPr="00590E99" w:rsidRDefault="00590E99" w:rsidP="00590E99">
            <w:pPr>
              <w:spacing w:after="0" w:line="276" w:lineRule="auto"/>
              <w:jc w:val="both"/>
              <w:rPr>
                <w:rFonts w:ascii="Arial" w:eastAsia="Arial" w:hAnsi="Arial" w:cs="Arial"/>
                <w:kern w:val="0"/>
                <w:sz w:val="22"/>
                <w:szCs w:val="22"/>
                <w:lang w:eastAsia="es-MX"/>
                <w14:ligatures w14:val="none"/>
              </w:rPr>
            </w:pPr>
          </w:p>
          <w:p w14:paraId="7EBBE1AB" w14:textId="77777777" w:rsidR="00590E99" w:rsidRPr="00590E99" w:rsidRDefault="00590E99" w:rsidP="00590E99">
            <w:pPr>
              <w:spacing w:after="0" w:line="276" w:lineRule="auto"/>
              <w:jc w:val="both"/>
              <w:rPr>
                <w:rFonts w:ascii="Arial" w:eastAsia="Arial" w:hAnsi="Arial" w:cs="Arial"/>
                <w:kern w:val="0"/>
                <w:sz w:val="22"/>
                <w:szCs w:val="22"/>
                <w:lang w:eastAsia="es-MX"/>
                <w14:ligatures w14:val="none"/>
              </w:rPr>
            </w:pPr>
          </w:p>
          <w:p w14:paraId="08CD6605" w14:textId="77777777" w:rsidR="00590E99" w:rsidRPr="00590E99" w:rsidRDefault="00590E99" w:rsidP="00590E99">
            <w:pPr>
              <w:spacing w:after="0" w:line="276" w:lineRule="auto"/>
              <w:jc w:val="both"/>
              <w:rPr>
                <w:rFonts w:ascii="Arial" w:eastAsia="Arial" w:hAnsi="Arial" w:cs="Arial"/>
                <w:kern w:val="0"/>
                <w:sz w:val="22"/>
                <w:szCs w:val="22"/>
                <w:lang w:eastAsia="es-MX"/>
                <w14:ligatures w14:val="none"/>
              </w:rPr>
            </w:pPr>
          </w:p>
          <w:p w14:paraId="4ACF7BE6" w14:textId="77777777" w:rsidR="00590E99" w:rsidRPr="00590E99" w:rsidRDefault="00590E99" w:rsidP="00590E99">
            <w:pPr>
              <w:spacing w:after="0" w:line="276" w:lineRule="auto"/>
              <w:jc w:val="both"/>
              <w:rPr>
                <w:rFonts w:ascii="Arial" w:eastAsia="Arial" w:hAnsi="Arial" w:cs="Arial"/>
                <w:kern w:val="0"/>
                <w:sz w:val="22"/>
                <w:szCs w:val="22"/>
                <w:lang w:eastAsia="es-MX"/>
                <w14:ligatures w14:val="none"/>
              </w:rPr>
            </w:pPr>
          </w:p>
        </w:tc>
        <w:tc>
          <w:tcPr>
            <w:tcW w:w="0" w:type="auto"/>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4D0F53B" w14:textId="77777777" w:rsidR="00590E99" w:rsidRPr="00590E99" w:rsidRDefault="00000000" w:rsidP="00590E99">
            <w:pPr>
              <w:spacing w:after="240" w:line="276" w:lineRule="auto"/>
              <w:jc w:val="both"/>
              <w:rPr>
                <w:rFonts w:ascii="Arial" w:eastAsia="Arial" w:hAnsi="Arial" w:cs="Arial"/>
                <w:kern w:val="0"/>
                <w:sz w:val="22"/>
                <w:szCs w:val="22"/>
                <w:lang w:eastAsia="es-MX"/>
                <w14:ligatures w14:val="none"/>
              </w:rPr>
            </w:pPr>
            <w:r w:rsidRPr="00590E99">
              <w:rPr>
                <w:rFonts w:ascii="Arial" w:eastAsia="Arial" w:hAnsi="Arial" w:cs="Arial"/>
                <w:kern w:val="0"/>
                <w:sz w:val="22"/>
                <w:szCs w:val="22"/>
                <w:lang w:eastAsia="es-MX"/>
                <w14:ligatures w14:val="none"/>
              </w:rPr>
              <w:t xml:space="preserve">Hasta el 25.76% (veinticinco punto setenta y seis por ciento) de los siguientes locales recaudados por SADM </w:t>
            </w:r>
            <w:r w:rsidRPr="00590E99">
              <w:rPr>
                <w:rFonts w:ascii="Arial" w:eastAsia="Arial" w:hAnsi="Arial" w:cs="Arial"/>
                <w:kern w:val="0"/>
                <w:position w:val="-1"/>
                <w:sz w:val="22"/>
                <w:szCs w:val="22"/>
                <w:lang w:eastAsia="es-MX"/>
                <w14:ligatures w14:val="none"/>
              </w:rPr>
              <w:t>a través del Fideicomiso Fuente de Pago</w:t>
            </w:r>
            <w:r w:rsidRPr="00590E99">
              <w:rPr>
                <w:rFonts w:ascii="Arial" w:eastAsia="Arial" w:hAnsi="Arial" w:cs="Arial"/>
                <w:kern w:val="0"/>
                <w:sz w:val="22"/>
                <w:szCs w:val="22"/>
                <w:lang w:eastAsia="es-MX"/>
                <w14:ligatures w14:val="none"/>
              </w:rPr>
              <w:t xml:space="preserve">, por la prestación de los servicios públicos a su cargo, a los que refiere el artículo 43, fracción I, incisos b), c), d), e) y f) y fracción II, </w:t>
            </w:r>
            <w:r w:rsidRPr="00590E99">
              <w:rPr>
                <w:rFonts w:ascii="Arial" w:eastAsia="Arial" w:hAnsi="Arial" w:cs="Arial"/>
                <w:kern w:val="0"/>
                <w:position w:val="-1"/>
                <w:sz w:val="22"/>
                <w:szCs w:val="22"/>
                <w:lang w:eastAsia="es-MX"/>
                <w14:ligatures w14:val="none"/>
              </w:rPr>
              <w:t>incisos a), b), c), d), e), i), j) y k)</w:t>
            </w:r>
            <w:r w:rsidR="00F97D5C">
              <w:rPr>
                <w:rFonts w:ascii="Arial" w:eastAsia="Arial" w:hAnsi="Arial" w:cs="Arial"/>
                <w:kern w:val="0"/>
                <w:position w:val="-1"/>
                <w:sz w:val="22"/>
                <w:szCs w:val="22"/>
                <w:lang w:eastAsia="es-MX"/>
                <w14:ligatures w14:val="none"/>
              </w:rPr>
              <w:t xml:space="preserve"> </w:t>
            </w:r>
            <w:r w:rsidRPr="00590E99">
              <w:rPr>
                <w:rFonts w:ascii="Arial" w:eastAsia="Arial" w:hAnsi="Arial" w:cs="Arial"/>
                <w:kern w:val="0"/>
                <w:sz w:val="22"/>
                <w:szCs w:val="22"/>
                <w:lang w:eastAsia="es-MX"/>
                <w14:ligatures w14:val="none"/>
              </w:rPr>
              <w:t>de la Ley de Agua Potable y Saneamiento para el Estado de Nuevo León (“</w:t>
            </w:r>
            <w:r w:rsidRPr="00590E99">
              <w:rPr>
                <w:rFonts w:ascii="Arial" w:eastAsia="Arial" w:hAnsi="Arial" w:cs="Arial"/>
                <w:kern w:val="0"/>
                <w:sz w:val="22"/>
                <w:szCs w:val="22"/>
                <w:u w:val="single"/>
                <w:lang w:eastAsia="es-MX"/>
                <w14:ligatures w14:val="none"/>
              </w:rPr>
              <w:t>Ingresos Locales SADM Destinados al Pago</w:t>
            </w:r>
            <w:r w:rsidRPr="00590E99">
              <w:rPr>
                <w:rFonts w:ascii="Arial" w:eastAsia="Arial" w:hAnsi="Arial" w:cs="Arial"/>
                <w:kern w:val="0"/>
                <w:sz w:val="22"/>
                <w:szCs w:val="22"/>
                <w:lang w:eastAsia="es-MX"/>
                <w14:ligatures w14:val="none"/>
              </w:rPr>
              <w:t xml:space="preserve">”). Lo anterior en términos de lo autorizado en los artículos 4 y 5 de la Ley de Ingresos y el Acta de Consejo. </w:t>
            </w:r>
          </w:p>
          <w:p w14:paraId="2F5CA7A2" w14:textId="77777777" w:rsidR="00590E99" w:rsidRPr="00590E99" w:rsidRDefault="00000000" w:rsidP="00590E99">
            <w:pPr>
              <w:spacing w:before="240" w:after="240" w:line="276" w:lineRule="auto"/>
              <w:jc w:val="both"/>
              <w:rPr>
                <w:rFonts w:ascii="Arial" w:eastAsia="Arial" w:hAnsi="Arial" w:cs="Arial"/>
                <w:kern w:val="0"/>
                <w:sz w:val="22"/>
                <w:szCs w:val="22"/>
                <w:lang w:eastAsia="es-MX"/>
                <w14:ligatures w14:val="none"/>
              </w:rPr>
            </w:pPr>
            <w:r w:rsidRPr="00590E99">
              <w:rPr>
                <w:rFonts w:ascii="Arial" w:eastAsia="Arial" w:hAnsi="Arial" w:cs="Arial"/>
                <w:kern w:val="0"/>
                <w:sz w:val="22"/>
                <w:szCs w:val="22"/>
                <w:lang w:eastAsia="es-MX"/>
                <w14:ligatures w14:val="none"/>
              </w:rPr>
              <w:t>El porcentaje de los Ingresos Locales SADM Destinados al Pago a asignarse a cada Oferta ganadora se determinará en función del monto y plazo de pago de cada Oferta conforme la siguiente tabla:</w:t>
            </w:r>
          </w:p>
          <w:tbl>
            <w:tblPr>
              <w:tblW w:w="5700" w:type="dxa"/>
              <w:tblBorders>
                <w:top w:val="nil"/>
                <w:left w:val="nil"/>
                <w:bottom w:val="nil"/>
                <w:right w:val="nil"/>
                <w:insideH w:val="nil"/>
                <w:insideV w:val="nil"/>
              </w:tblBorders>
              <w:tblLook w:val="0600" w:firstRow="0" w:lastRow="0" w:firstColumn="0" w:lastColumn="0" w:noHBand="1" w:noVBand="1"/>
            </w:tblPr>
            <w:tblGrid>
              <w:gridCol w:w="2606"/>
              <w:gridCol w:w="3094"/>
            </w:tblGrid>
            <w:tr w:rsidR="00DA57A7" w14:paraId="65448D72" w14:textId="77777777" w:rsidTr="00F97D5C">
              <w:trPr>
                <w:trHeight w:val="915"/>
              </w:trPr>
              <w:tc>
                <w:tcPr>
                  <w:tcW w:w="2606"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1097CB78" w14:textId="77777777" w:rsidR="00590E99" w:rsidRPr="00590E99" w:rsidRDefault="00000000" w:rsidP="00590E99">
                  <w:pPr>
                    <w:spacing w:before="240" w:after="240" w:line="276" w:lineRule="auto"/>
                    <w:ind w:left="20"/>
                    <w:jc w:val="center"/>
                    <w:rPr>
                      <w:rFonts w:ascii="Arial" w:eastAsia="Arial" w:hAnsi="Arial" w:cs="Arial"/>
                      <w:b/>
                      <w:kern w:val="0"/>
                      <w:sz w:val="20"/>
                      <w:szCs w:val="20"/>
                      <w:lang w:eastAsia="es-MX"/>
                      <w14:ligatures w14:val="none"/>
                    </w:rPr>
                  </w:pPr>
                  <w:r w:rsidRPr="00590E99">
                    <w:rPr>
                      <w:rFonts w:ascii="Arial" w:eastAsia="Arial" w:hAnsi="Arial" w:cs="Arial"/>
                      <w:b/>
                      <w:kern w:val="0"/>
                      <w:sz w:val="20"/>
                      <w:szCs w:val="20"/>
                      <w:lang w:eastAsia="es-MX"/>
                      <w14:ligatures w14:val="none"/>
                    </w:rPr>
                    <w:t xml:space="preserve"> </w:t>
                  </w:r>
                </w:p>
                <w:p w14:paraId="2A65775D" w14:textId="77777777" w:rsidR="00590E99" w:rsidRPr="00590E99" w:rsidRDefault="00000000" w:rsidP="00590E99">
                  <w:pPr>
                    <w:spacing w:before="240" w:after="240" w:line="276" w:lineRule="auto"/>
                    <w:ind w:left="20"/>
                    <w:jc w:val="center"/>
                    <w:rPr>
                      <w:rFonts w:ascii="Arial" w:eastAsia="Arial" w:hAnsi="Arial" w:cs="Arial"/>
                      <w:b/>
                      <w:kern w:val="0"/>
                      <w:sz w:val="20"/>
                      <w:szCs w:val="20"/>
                      <w:lang w:eastAsia="es-MX"/>
                      <w14:ligatures w14:val="none"/>
                    </w:rPr>
                  </w:pPr>
                  <w:r w:rsidRPr="00590E99">
                    <w:rPr>
                      <w:rFonts w:ascii="Arial" w:eastAsia="Arial" w:hAnsi="Arial" w:cs="Arial"/>
                      <w:b/>
                      <w:kern w:val="0"/>
                      <w:sz w:val="20"/>
                      <w:szCs w:val="20"/>
                      <w:lang w:eastAsia="es-MX"/>
                      <w14:ligatures w14:val="none"/>
                    </w:rPr>
                    <w:t>Plazo de Pago</w:t>
                  </w:r>
                </w:p>
              </w:tc>
              <w:tc>
                <w:tcPr>
                  <w:tcW w:w="3093"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11A0EA2D" w14:textId="77777777" w:rsidR="00590E99" w:rsidRPr="00590E99" w:rsidRDefault="00000000" w:rsidP="00590E99">
                  <w:pPr>
                    <w:spacing w:before="240" w:after="240" w:line="276" w:lineRule="auto"/>
                    <w:ind w:left="20"/>
                    <w:jc w:val="center"/>
                    <w:rPr>
                      <w:rFonts w:ascii="Arial" w:eastAsia="Arial" w:hAnsi="Arial" w:cs="Arial"/>
                      <w:b/>
                      <w:kern w:val="0"/>
                      <w:sz w:val="20"/>
                      <w:szCs w:val="20"/>
                      <w:lang w:eastAsia="es-MX"/>
                      <w14:ligatures w14:val="none"/>
                    </w:rPr>
                  </w:pPr>
                  <w:r w:rsidRPr="00590E99">
                    <w:rPr>
                      <w:rFonts w:ascii="Arial" w:eastAsia="Arial" w:hAnsi="Arial" w:cs="Arial"/>
                      <w:b/>
                      <w:kern w:val="0"/>
                      <w:sz w:val="20"/>
                      <w:szCs w:val="20"/>
                      <w:lang w:eastAsia="es-MX"/>
                      <w14:ligatures w14:val="none"/>
                    </w:rPr>
                    <w:t>Porcentaje de asignación de los Ingresos Locales SADM Destinados al Pago por cada $500 millones de pesos en una Oferta ganadora</w:t>
                  </w:r>
                </w:p>
              </w:tc>
            </w:tr>
            <w:tr w:rsidR="00DA57A7" w14:paraId="0DDC7C12" w14:textId="77777777" w:rsidTr="00F97D5C">
              <w:trPr>
                <w:trHeight w:val="495"/>
              </w:trPr>
              <w:tc>
                <w:tcPr>
                  <w:tcW w:w="260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1F34B19" w14:textId="77777777" w:rsidR="00590E99" w:rsidRPr="00590E99" w:rsidRDefault="00000000" w:rsidP="00590E99">
                  <w:pPr>
                    <w:spacing w:before="240" w:after="240" w:line="276" w:lineRule="auto"/>
                    <w:ind w:left="20"/>
                    <w:jc w:val="center"/>
                    <w:rPr>
                      <w:rFonts w:ascii="Arial" w:eastAsia="Arial" w:hAnsi="Arial" w:cs="Arial"/>
                      <w:kern w:val="0"/>
                      <w:sz w:val="22"/>
                      <w:szCs w:val="22"/>
                      <w:lang w:eastAsia="es-MX"/>
                      <w14:ligatures w14:val="none"/>
                    </w:rPr>
                  </w:pPr>
                  <w:r w:rsidRPr="00590E99">
                    <w:rPr>
                      <w:rFonts w:ascii="Arial" w:eastAsia="Arial" w:hAnsi="Arial" w:cs="Arial"/>
                      <w:kern w:val="0"/>
                      <w:sz w:val="22"/>
                      <w:szCs w:val="22"/>
                      <w:lang w:eastAsia="es-MX"/>
                      <w14:ligatures w14:val="none"/>
                    </w:rPr>
                    <w:t>15 años</w:t>
                  </w:r>
                </w:p>
              </w:tc>
              <w:tc>
                <w:tcPr>
                  <w:tcW w:w="3093" w:type="dxa"/>
                  <w:tcBorders>
                    <w:top w:val="nil"/>
                    <w:left w:val="nil"/>
                    <w:bottom w:val="single" w:sz="8" w:space="0" w:color="000000"/>
                    <w:right w:val="single" w:sz="8" w:space="0" w:color="000000"/>
                  </w:tcBorders>
                  <w:tcMar>
                    <w:top w:w="100" w:type="dxa"/>
                    <w:left w:w="100" w:type="dxa"/>
                    <w:bottom w:w="100" w:type="dxa"/>
                    <w:right w:w="100" w:type="dxa"/>
                  </w:tcMar>
                </w:tcPr>
                <w:p w14:paraId="3D94BB26" w14:textId="77777777" w:rsidR="00590E99" w:rsidRPr="00590E99" w:rsidRDefault="00000000" w:rsidP="00590E99">
                  <w:pPr>
                    <w:spacing w:before="240" w:after="240" w:line="276" w:lineRule="auto"/>
                    <w:ind w:left="20"/>
                    <w:jc w:val="center"/>
                    <w:rPr>
                      <w:rFonts w:ascii="Arial" w:eastAsia="Arial" w:hAnsi="Arial" w:cs="Arial"/>
                      <w:kern w:val="0"/>
                      <w:sz w:val="22"/>
                      <w:szCs w:val="22"/>
                      <w:lang w:eastAsia="es-MX"/>
                      <w14:ligatures w14:val="none"/>
                    </w:rPr>
                  </w:pPr>
                  <w:r w:rsidRPr="00590E99">
                    <w:rPr>
                      <w:rFonts w:ascii="Arial" w:eastAsia="Arial" w:hAnsi="Arial" w:cs="Arial"/>
                      <w:kern w:val="0"/>
                      <w:sz w:val="22"/>
                      <w:szCs w:val="22"/>
                      <w:lang w:eastAsia="es-MX"/>
                      <w14:ligatures w14:val="none"/>
                    </w:rPr>
                    <w:t>1.89%</w:t>
                  </w:r>
                </w:p>
              </w:tc>
            </w:tr>
            <w:tr w:rsidR="00DA57A7" w14:paraId="6BF57CAC" w14:textId="77777777" w:rsidTr="00F97D5C">
              <w:trPr>
                <w:trHeight w:val="495"/>
              </w:trPr>
              <w:tc>
                <w:tcPr>
                  <w:tcW w:w="260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E907B28" w14:textId="77777777" w:rsidR="00590E99" w:rsidRPr="00590E99" w:rsidRDefault="00000000" w:rsidP="00590E99">
                  <w:pPr>
                    <w:spacing w:before="240" w:after="240" w:line="276" w:lineRule="auto"/>
                    <w:ind w:left="20"/>
                    <w:jc w:val="center"/>
                    <w:rPr>
                      <w:rFonts w:ascii="Arial" w:eastAsia="Arial" w:hAnsi="Arial" w:cs="Arial"/>
                      <w:kern w:val="0"/>
                      <w:sz w:val="22"/>
                      <w:szCs w:val="22"/>
                      <w:lang w:eastAsia="es-MX"/>
                      <w14:ligatures w14:val="none"/>
                    </w:rPr>
                  </w:pPr>
                  <w:r w:rsidRPr="00590E99">
                    <w:rPr>
                      <w:rFonts w:ascii="Arial" w:eastAsia="Arial" w:hAnsi="Arial" w:cs="Arial"/>
                      <w:kern w:val="0"/>
                      <w:sz w:val="22"/>
                      <w:szCs w:val="22"/>
                      <w:lang w:eastAsia="es-MX"/>
                      <w14:ligatures w14:val="none"/>
                    </w:rPr>
                    <w:t>20 años</w:t>
                  </w:r>
                </w:p>
              </w:tc>
              <w:tc>
                <w:tcPr>
                  <w:tcW w:w="3093" w:type="dxa"/>
                  <w:tcBorders>
                    <w:top w:val="nil"/>
                    <w:left w:val="nil"/>
                    <w:bottom w:val="single" w:sz="8" w:space="0" w:color="000000"/>
                    <w:right w:val="single" w:sz="8" w:space="0" w:color="000000"/>
                  </w:tcBorders>
                  <w:tcMar>
                    <w:top w:w="100" w:type="dxa"/>
                    <w:left w:w="100" w:type="dxa"/>
                    <w:bottom w:w="100" w:type="dxa"/>
                    <w:right w:w="100" w:type="dxa"/>
                  </w:tcMar>
                </w:tcPr>
                <w:p w14:paraId="67D18558" w14:textId="77777777" w:rsidR="00590E99" w:rsidRPr="00590E99" w:rsidRDefault="00000000" w:rsidP="00590E99">
                  <w:pPr>
                    <w:spacing w:before="240" w:after="240" w:line="276" w:lineRule="auto"/>
                    <w:ind w:left="20"/>
                    <w:jc w:val="center"/>
                    <w:rPr>
                      <w:rFonts w:ascii="Arial" w:eastAsia="Arial" w:hAnsi="Arial" w:cs="Arial"/>
                      <w:kern w:val="0"/>
                      <w:sz w:val="22"/>
                      <w:szCs w:val="22"/>
                      <w:lang w:eastAsia="es-MX"/>
                      <w14:ligatures w14:val="none"/>
                    </w:rPr>
                  </w:pPr>
                  <w:r w:rsidRPr="00590E99">
                    <w:rPr>
                      <w:rFonts w:ascii="Arial" w:eastAsia="Arial" w:hAnsi="Arial" w:cs="Arial"/>
                      <w:kern w:val="0"/>
                      <w:sz w:val="22"/>
                      <w:szCs w:val="22"/>
                      <w:lang w:eastAsia="es-MX"/>
                      <w14:ligatures w14:val="none"/>
                    </w:rPr>
                    <w:t>1.71%</w:t>
                  </w:r>
                </w:p>
              </w:tc>
            </w:tr>
            <w:tr w:rsidR="00DA57A7" w14:paraId="004A150A" w14:textId="77777777" w:rsidTr="00F97D5C">
              <w:trPr>
                <w:trHeight w:val="495"/>
              </w:trPr>
              <w:tc>
                <w:tcPr>
                  <w:tcW w:w="260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3BCCE6A" w14:textId="77777777" w:rsidR="00590E99" w:rsidRPr="00590E99" w:rsidRDefault="00000000" w:rsidP="00590E99">
                  <w:pPr>
                    <w:spacing w:before="240" w:after="240" w:line="276" w:lineRule="auto"/>
                    <w:ind w:left="20"/>
                    <w:jc w:val="center"/>
                    <w:rPr>
                      <w:rFonts w:ascii="Arial" w:eastAsia="Arial" w:hAnsi="Arial" w:cs="Arial"/>
                      <w:kern w:val="0"/>
                      <w:sz w:val="22"/>
                      <w:szCs w:val="22"/>
                      <w:lang w:eastAsia="es-MX"/>
                      <w14:ligatures w14:val="none"/>
                    </w:rPr>
                  </w:pPr>
                  <w:r w:rsidRPr="00590E99">
                    <w:rPr>
                      <w:rFonts w:ascii="Arial" w:eastAsia="Arial" w:hAnsi="Arial" w:cs="Arial"/>
                      <w:kern w:val="0"/>
                      <w:sz w:val="22"/>
                      <w:szCs w:val="22"/>
                      <w:lang w:eastAsia="es-MX"/>
                      <w14:ligatures w14:val="none"/>
                    </w:rPr>
                    <w:lastRenderedPageBreak/>
                    <w:t>25 años</w:t>
                  </w:r>
                </w:p>
              </w:tc>
              <w:tc>
                <w:tcPr>
                  <w:tcW w:w="3093" w:type="dxa"/>
                  <w:tcBorders>
                    <w:top w:val="nil"/>
                    <w:left w:val="nil"/>
                    <w:bottom w:val="single" w:sz="8" w:space="0" w:color="000000"/>
                    <w:right w:val="single" w:sz="8" w:space="0" w:color="000000"/>
                  </w:tcBorders>
                  <w:tcMar>
                    <w:top w:w="100" w:type="dxa"/>
                    <w:left w:w="100" w:type="dxa"/>
                    <w:bottom w:w="100" w:type="dxa"/>
                    <w:right w:w="100" w:type="dxa"/>
                  </w:tcMar>
                </w:tcPr>
                <w:p w14:paraId="3D47A322" w14:textId="77777777" w:rsidR="00590E99" w:rsidRPr="00590E99" w:rsidRDefault="00000000" w:rsidP="00590E99">
                  <w:pPr>
                    <w:spacing w:before="240" w:after="240" w:line="276" w:lineRule="auto"/>
                    <w:ind w:left="20"/>
                    <w:jc w:val="center"/>
                    <w:rPr>
                      <w:rFonts w:ascii="Arial" w:eastAsia="Arial" w:hAnsi="Arial" w:cs="Arial"/>
                      <w:kern w:val="0"/>
                      <w:sz w:val="22"/>
                      <w:szCs w:val="22"/>
                      <w:lang w:eastAsia="es-MX"/>
                      <w14:ligatures w14:val="none"/>
                    </w:rPr>
                  </w:pPr>
                  <w:r w:rsidRPr="00590E99">
                    <w:rPr>
                      <w:rFonts w:ascii="Arial" w:eastAsia="Arial" w:hAnsi="Arial" w:cs="Arial"/>
                      <w:kern w:val="0"/>
                      <w:sz w:val="22"/>
                      <w:szCs w:val="22"/>
                      <w:lang w:eastAsia="es-MX"/>
                      <w14:ligatures w14:val="none"/>
                    </w:rPr>
                    <w:t>1.66%</w:t>
                  </w:r>
                </w:p>
              </w:tc>
            </w:tr>
          </w:tbl>
          <w:p w14:paraId="3515D143" w14:textId="77777777" w:rsidR="00590E99" w:rsidRPr="00590E99" w:rsidRDefault="00000000" w:rsidP="00590E99">
            <w:pPr>
              <w:spacing w:before="240" w:after="240" w:line="276" w:lineRule="auto"/>
              <w:jc w:val="both"/>
              <w:rPr>
                <w:rFonts w:ascii="Arial" w:eastAsia="Arial" w:hAnsi="Arial" w:cs="Arial"/>
                <w:kern w:val="0"/>
                <w:sz w:val="22"/>
                <w:szCs w:val="22"/>
                <w:lang w:eastAsia="es-MX"/>
                <w14:ligatures w14:val="none"/>
              </w:rPr>
            </w:pPr>
            <w:r w:rsidRPr="00590E99">
              <w:rPr>
                <w:rFonts w:ascii="Arial" w:eastAsia="Arial" w:hAnsi="Arial" w:cs="Arial"/>
                <w:kern w:val="0"/>
                <w:sz w:val="22"/>
                <w:szCs w:val="22"/>
                <w:lang w:eastAsia="es-MX"/>
                <w14:ligatures w14:val="none"/>
              </w:rPr>
              <w:t xml:space="preserve"> Los porcentajes anteriores están calculados para obtener un aforo de 3.0 veces respecto a los Ingresos Locales SADM Destinados al Pago entre el servicio de la deuda durante el segundo año de amortización de los Contratos de Crédito (“</w:t>
            </w:r>
            <w:r w:rsidRPr="00590E99">
              <w:rPr>
                <w:rFonts w:ascii="Arial" w:eastAsia="Arial" w:hAnsi="Arial" w:cs="Arial"/>
                <w:kern w:val="0"/>
                <w:sz w:val="22"/>
                <w:szCs w:val="22"/>
                <w:u w:val="single"/>
                <w:lang w:eastAsia="es-MX"/>
                <w14:ligatures w14:val="none"/>
              </w:rPr>
              <w:t>Aforo Mínimo</w:t>
            </w:r>
            <w:r w:rsidRPr="00590E99">
              <w:rPr>
                <w:rFonts w:ascii="Arial" w:eastAsia="Arial" w:hAnsi="Arial" w:cs="Arial"/>
                <w:kern w:val="0"/>
                <w:sz w:val="22"/>
                <w:szCs w:val="22"/>
                <w:lang w:eastAsia="es-MX"/>
                <w14:ligatures w14:val="none"/>
              </w:rPr>
              <w:t xml:space="preserve">”), en donde incrementará el monto de las amortizaciones, conforme a la tabla de amortización que se agrega como </w:t>
            </w:r>
            <w:r w:rsidRPr="00590E99">
              <w:rPr>
                <w:rFonts w:ascii="Arial" w:eastAsia="Arial" w:hAnsi="Arial" w:cs="Arial"/>
                <w:b/>
                <w:kern w:val="0"/>
                <w:sz w:val="22"/>
                <w:szCs w:val="22"/>
                <w:lang w:eastAsia="es-MX"/>
                <w14:ligatures w14:val="none"/>
              </w:rPr>
              <w:t>Anexo “D”</w:t>
            </w:r>
            <w:r w:rsidRPr="00590E99">
              <w:rPr>
                <w:rFonts w:ascii="Arial" w:eastAsia="Arial" w:hAnsi="Arial" w:cs="Arial"/>
                <w:kern w:val="0"/>
                <w:sz w:val="22"/>
                <w:szCs w:val="22"/>
                <w:lang w:eastAsia="es-MX"/>
                <w14:ligatures w14:val="none"/>
              </w:rPr>
              <w:t xml:space="preserve"> de las Bases de la Licitación Pública.</w:t>
            </w:r>
          </w:p>
        </w:tc>
      </w:tr>
      <w:tr w:rsidR="00DA57A7" w14:paraId="770CDD84" w14:textId="77777777" w:rsidTr="00F97D5C">
        <w:trPr>
          <w:trHeight w:val="7715"/>
        </w:trPr>
        <w:tc>
          <w:tcPr>
            <w:tcW w:w="0" w:type="auto"/>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0011967" w14:textId="77777777" w:rsidR="00590E99" w:rsidRPr="00590E99" w:rsidRDefault="00000000" w:rsidP="00590E99">
            <w:pPr>
              <w:spacing w:after="0" w:line="276" w:lineRule="auto"/>
              <w:jc w:val="both"/>
              <w:rPr>
                <w:rFonts w:ascii="Arial" w:eastAsia="Arial" w:hAnsi="Arial" w:cs="Arial"/>
                <w:kern w:val="0"/>
                <w:sz w:val="22"/>
                <w:szCs w:val="22"/>
                <w:lang w:eastAsia="es-MX"/>
                <w14:ligatures w14:val="none"/>
              </w:rPr>
            </w:pPr>
            <w:r w:rsidRPr="00590E99">
              <w:rPr>
                <w:rFonts w:ascii="Arial" w:eastAsia="Arial" w:hAnsi="Arial" w:cs="Arial"/>
                <w:kern w:val="0"/>
                <w:sz w:val="22"/>
                <w:szCs w:val="22"/>
                <w:lang w:eastAsia="es-MX"/>
                <w14:ligatures w14:val="none"/>
              </w:rPr>
              <w:lastRenderedPageBreak/>
              <w:t>Contratación de Instrumentos Derivados:</w:t>
            </w:r>
          </w:p>
        </w:tc>
        <w:tc>
          <w:tcPr>
            <w:tcW w:w="0" w:type="auto"/>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5383F9D" w14:textId="77777777" w:rsidR="00590E99" w:rsidRPr="00590E99" w:rsidRDefault="00000000" w:rsidP="00590E99">
            <w:pPr>
              <w:tabs>
                <w:tab w:val="left" w:pos="413"/>
              </w:tabs>
              <w:spacing w:after="240" w:line="240" w:lineRule="auto"/>
              <w:jc w:val="both"/>
              <w:rPr>
                <w:rFonts w:ascii="Arial" w:eastAsia="Arial" w:hAnsi="Arial" w:cs="Arial"/>
                <w:kern w:val="0"/>
                <w:sz w:val="22"/>
                <w:szCs w:val="22"/>
                <w:lang w:eastAsia="es-MX"/>
                <w14:ligatures w14:val="none"/>
              </w:rPr>
            </w:pPr>
            <w:r w:rsidRPr="00590E99">
              <w:rPr>
                <w:rFonts w:ascii="Arial" w:eastAsia="Arial" w:hAnsi="Arial" w:cs="Arial"/>
                <w:kern w:val="0"/>
                <w:sz w:val="22"/>
                <w:szCs w:val="22"/>
                <w:lang w:eastAsia="es-MX"/>
                <w14:ligatures w14:val="none"/>
              </w:rPr>
              <w:t>En relación con los Contratos de Crédito</w:t>
            </w:r>
            <w:r w:rsidR="00600298">
              <w:rPr>
                <w:rFonts w:ascii="Arial" w:eastAsia="Arial" w:hAnsi="Arial" w:cs="Arial"/>
                <w:kern w:val="0"/>
                <w:sz w:val="22"/>
                <w:szCs w:val="22"/>
                <w:lang w:eastAsia="es-MX"/>
                <w14:ligatures w14:val="none"/>
              </w:rPr>
              <w:t xml:space="preserve"> que SADM celebré con tasa de interés variable</w:t>
            </w:r>
            <w:r w:rsidRPr="00590E99">
              <w:rPr>
                <w:rFonts w:ascii="Arial" w:eastAsia="Arial" w:hAnsi="Arial" w:cs="Arial"/>
                <w:kern w:val="0"/>
                <w:sz w:val="22"/>
                <w:szCs w:val="22"/>
                <w:lang w:eastAsia="es-MX"/>
                <w14:ligatures w14:val="none"/>
              </w:rPr>
              <w:t>, SADM podrá contratar instrumentos derivados de cobertura de tasa de interés (Caps) o de intercambio de tasas de interés (Swaps) a valor de mercado, bajo la modalidad o especificaciones, que se consideren óptimas para mitigar riesgos en la fluctuación de la tasa de interés base, en caso de financiamientos a tasa variable (“</w:t>
            </w:r>
            <w:r w:rsidRPr="00590E99">
              <w:rPr>
                <w:rFonts w:ascii="Arial" w:eastAsia="Arial" w:hAnsi="Arial" w:cs="Arial"/>
                <w:kern w:val="0"/>
                <w:sz w:val="22"/>
                <w:szCs w:val="22"/>
                <w:u w:val="single"/>
                <w:lang w:eastAsia="es-MX"/>
                <w14:ligatures w14:val="none"/>
              </w:rPr>
              <w:t>Instrumentos Derivados</w:t>
            </w:r>
            <w:r w:rsidRPr="00590E99">
              <w:rPr>
                <w:rFonts w:ascii="Arial" w:eastAsia="Arial" w:hAnsi="Arial" w:cs="Arial"/>
                <w:kern w:val="0"/>
                <w:sz w:val="22"/>
                <w:szCs w:val="22"/>
                <w:lang w:eastAsia="es-MX"/>
                <w14:ligatures w14:val="none"/>
              </w:rPr>
              <w:t xml:space="preserve">”). </w:t>
            </w:r>
          </w:p>
          <w:p w14:paraId="29ED308B" w14:textId="77777777" w:rsidR="00590E99" w:rsidRPr="00590E99" w:rsidRDefault="00000000" w:rsidP="00590E99">
            <w:pPr>
              <w:tabs>
                <w:tab w:val="left" w:pos="413"/>
              </w:tabs>
              <w:spacing w:before="240" w:after="240" w:line="276" w:lineRule="auto"/>
              <w:jc w:val="both"/>
              <w:rPr>
                <w:rFonts w:ascii="Arial" w:eastAsia="Arial" w:hAnsi="Arial" w:cs="Arial"/>
                <w:kern w:val="0"/>
                <w:sz w:val="22"/>
                <w:szCs w:val="22"/>
                <w:lang w:eastAsia="es-MX"/>
                <w14:ligatures w14:val="none"/>
              </w:rPr>
            </w:pPr>
            <w:r w:rsidRPr="00590E99">
              <w:rPr>
                <w:rFonts w:ascii="Arial" w:eastAsia="Arial" w:hAnsi="Arial" w:cs="Arial"/>
                <w:kern w:val="0"/>
                <w:sz w:val="22"/>
                <w:szCs w:val="22"/>
                <w:lang w:eastAsia="es-MX"/>
                <w14:ligatures w14:val="none"/>
              </w:rPr>
              <w:t xml:space="preserve">La contratación de Instrumentos Derivados deberá sujetarse a lo siguiente: </w:t>
            </w:r>
          </w:p>
          <w:p w14:paraId="0B6C1B6B" w14:textId="77777777" w:rsidR="00590E99" w:rsidRPr="00590E99" w:rsidRDefault="00000000" w:rsidP="00590E99">
            <w:pPr>
              <w:tabs>
                <w:tab w:val="left" w:pos="413"/>
              </w:tabs>
              <w:spacing w:before="240" w:after="240" w:line="240" w:lineRule="auto"/>
              <w:jc w:val="both"/>
              <w:rPr>
                <w:rFonts w:ascii="Arial" w:eastAsia="Arial" w:hAnsi="Arial" w:cs="Arial"/>
                <w:kern w:val="0"/>
                <w:sz w:val="22"/>
                <w:szCs w:val="22"/>
                <w:lang w:eastAsia="es-MX"/>
                <w14:ligatures w14:val="none"/>
              </w:rPr>
            </w:pPr>
            <w:r w:rsidRPr="00590E99">
              <w:rPr>
                <w:rFonts w:ascii="Arial" w:eastAsia="Arial" w:hAnsi="Arial" w:cs="Arial"/>
                <w:kern w:val="0"/>
                <w:sz w:val="22"/>
                <w:szCs w:val="22"/>
                <w:lang w:eastAsia="es-MX"/>
                <w14:ligatures w14:val="none"/>
              </w:rPr>
              <w:t>(i) se celebrarán hasta por un monto de hasta el 50% (cincuenta por ciento) del saldo insoluto del Contrato de Crédito objeto de cobertura;</w:t>
            </w:r>
          </w:p>
          <w:p w14:paraId="4D647FF5" w14:textId="77777777" w:rsidR="00590E99" w:rsidRPr="00590E99" w:rsidRDefault="00000000" w:rsidP="00590E99">
            <w:pPr>
              <w:tabs>
                <w:tab w:val="left" w:pos="413"/>
              </w:tabs>
              <w:spacing w:before="240" w:after="240" w:line="240" w:lineRule="auto"/>
              <w:jc w:val="both"/>
              <w:rPr>
                <w:rFonts w:ascii="Arial" w:eastAsia="Arial" w:hAnsi="Arial" w:cs="Arial"/>
                <w:kern w:val="0"/>
                <w:sz w:val="22"/>
                <w:szCs w:val="22"/>
                <w:lang w:eastAsia="es-MX"/>
                <w14:ligatures w14:val="none"/>
              </w:rPr>
            </w:pPr>
            <w:r w:rsidRPr="00590E99">
              <w:rPr>
                <w:rFonts w:ascii="Arial" w:eastAsia="Arial" w:hAnsi="Arial" w:cs="Arial"/>
                <w:kern w:val="0"/>
                <w:sz w:val="22"/>
                <w:szCs w:val="22"/>
                <w:lang w:eastAsia="es-MX"/>
                <w14:ligatures w14:val="none"/>
              </w:rPr>
              <w:t xml:space="preserve">(ii) </w:t>
            </w:r>
            <w:r w:rsidR="00600298">
              <w:rPr>
                <w:rFonts w:ascii="Arial" w:eastAsia="Arial" w:hAnsi="Arial" w:cs="Arial"/>
                <w:kern w:val="0"/>
                <w:sz w:val="22"/>
                <w:szCs w:val="22"/>
                <w:lang w:eastAsia="es-MX"/>
                <w14:ligatures w14:val="none"/>
              </w:rPr>
              <w:t>la primera contratación de los Instrumentos Derivados serán dentro de los 6 (seis) meses posteriores al primer desembolso por un plazo mínimo de 24 (veinticuatro) meses y máximo</w:t>
            </w:r>
            <w:r w:rsidR="00600298" w:rsidRPr="00590E99">
              <w:rPr>
                <w:rFonts w:ascii="Arial" w:eastAsia="Arial" w:hAnsi="Arial" w:cs="Arial"/>
                <w:kern w:val="0"/>
                <w:sz w:val="22"/>
                <w:szCs w:val="22"/>
                <w:lang w:eastAsia="es-MX"/>
                <w14:ligatures w14:val="none"/>
              </w:rPr>
              <w:t xml:space="preserve"> </w:t>
            </w:r>
            <w:r w:rsidRPr="00590E99">
              <w:rPr>
                <w:rFonts w:ascii="Arial" w:eastAsia="Arial" w:hAnsi="Arial" w:cs="Arial"/>
                <w:kern w:val="0"/>
                <w:sz w:val="22"/>
                <w:szCs w:val="22"/>
                <w:lang w:eastAsia="es-MX"/>
                <w14:ligatures w14:val="none"/>
              </w:rPr>
              <w:t>de hasta 60 (sesenta) meses contados a partir de su celebración</w:t>
            </w:r>
            <w:r w:rsidR="00600298">
              <w:rPr>
                <w:rFonts w:ascii="Arial" w:eastAsia="Arial" w:hAnsi="Arial" w:cs="Arial"/>
                <w:kern w:val="0"/>
                <w:sz w:val="22"/>
                <w:szCs w:val="22"/>
                <w:lang w:eastAsia="es-MX"/>
                <w14:ligatures w14:val="none"/>
              </w:rPr>
              <w:t>. Las renovaciones posteriores de dichos Instrumentos Derivados serán por un plazo mínimo de 12 (doce) meses y máximo de hasta 60 (sesenta) meses contados a partir de su celebración,</w:t>
            </w:r>
            <w:r w:rsidRPr="00590E99">
              <w:rPr>
                <w:rFonts w:ascii="Arial" w:eastAsia="Arial" w:hAnsi="Arial" w:cs="Arial"/>
                <w:kern w:val="0"/>
                <w:sz w:val="22"/>
                <w:szCs w:val="22"/>
                <w:lang w:eastAsia="es-MX"/>
                <w14:ligatures w14:val="none"/>
              </w:rPr>
              <w:t xml:space="preserve"> y en ningún caso, excederán la vigencia de los Contratos de Crédito objeto de cobertura;</w:t>
            </w:r>
            <w:r w:rsidR="00600298">
              <w:rPr>
                <w:rFonts w:ascii="Arial" w:eastAsia="Arial" w:hAnsi="Arial" w:cs="Arial"/>
                <w:kern w:val="0"/>
                <w:sz w:val="22"/>
                <w:szCs w:val="22"/>
                <w:lang w:eastAsia="es-MX"/>
                <w14:ligatures w14:val="none"/>
              </w:rPr>
              <w:t xml:space="preserve"> y</w:t>
            </w:r>
          </w:p>
          <w:p w14:paraId="238DBAAA" w14:textId="77777777" w:rsidR="00590E99" w:rsidRPr="00590E99" w:rsidRDefault="00000000" w:rsidP="00590E99">
            <w:pPr>
              <w:tabs>
                <w:tab w:val="left" w:pos="413"/>
              </w:tabs>
              <w:spacing w:before="240" w:after="240" w:line="240" w:lineRule="auto"/>
              <w:jc w:val="both"/>
              <w:rPr>
                <w:rFonts w:ascii="Arial" w:eastAsia="Arial" w:hAnsi="Arial" w:cs="Arial"/>
                <w:kern w:val="0"/>
                <w:sz w:val="22"/>
                <w:szCs w:val="22"/>
                <w:lang w:eastAsia="es-MX"/>
                <w14:ligatures w14:val="none"/>
              </w:rPr>
            </w:pPr>
            <w:r w:rsidRPr="00590E99">
              <w:rPr>
                <w:rFonts w:ascii="Arial" w:eastAsia="Arial" w:hAnsi="Arial" w:cs="Arial"/>
                <w:kern w:val="0"/>
                <w:sz w:val="22"/>
                <w:szCs w:val="22"/>
                <w:lang w:eastAsia="es-MX"/>
                <w14:ligatures w14:val="none"/>
              </w:rPr>
              <w:t>(iii) los recursos que, en su caso, se obtengan de los Instrumentos Derivados serán destinados al pago de los Contratos de Crédito objeto de cobertura</w:t>
            </w:r>
            <w:r w:rsidR="00210491">
              <w:rPr>
                <w:rFonts w:ascii="Arial" w:eastAsia="Arial" w:hAnsi="Arial" w:cs="Arial"/>
                <w:kern w:val="0"/>
                <w:sz w:val="22"/>
                <w:szCs w:val="22"/>
                <w:lang w:eastAsia="es-MX"/>
                <w14:ligatures w14:val="none"/>
              </w:rPr>
              <w:t>.</w:t>
            </w:r>
          </w:p>
          <w:p w14:paraId="0F3ECB60" w14:textId="77777777" w:rsidR="00590E99" w:rsidRPr="00590E99" w:rsidRDefault="00000000" w:rsidP="00590E99">
            <w:pPr>
              <w:spacing w:after="0" w:line="240" w:lineRule="auto"/>
              <w:jc w:val="both"/>
              <w:rPr>
                <w:rFonts w:ascii="Arial" w:eastAsia="Arial" w:hAnsi="Arial" w:cs="Arial"/>
                <w:kern w:val="0"/>
                <w:sz w:val="22"/>
                <w:szCs w:val="22"/>
                <w:lang w:eastAsia="es-MX"/>
                <w14:ligatures w14:val="none"/>
              </w:rPr>
            </w:pPr>
            <w:r w:rsidRPr="00590E99">
              <w:rPr>
                <w:rFonts w:ascii="Arial" w:eastAsia="Arial" w:hAnsi="Arial" w:cs="Arial"/>
                <w:kern w:val="0"/>
                <w:sz w:val="22"/>
                <w:szCs w:val="22"/>
                <w:lang w:eastAsia="es-MX"/>
                <w14:ligatures w14:val="none"/>
              </w:rPr>
              <w:t xml:space="preserve"> </w:t>
            </w:r>
          </w:p>
        </w:tc>
      </w:tr>
      <w:tr w:rsidR="00DA57A7" w14:paraId="28CABC55" w14:textId="77777777" w:rsidTr="00F97D5C">
        <w:trPr>
          <w:trHeight w:val="2914"/>
        </w:trPr>
        <w:tc>
          <w:tcPr>
            <w:tcW w:w="0" w:type="auto"/>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39B0145" w14:textId="77777777" w:rsidR="00590E99" w:rsidRPr="00590E99" w:rsidRDefault="00000000" w:rsidP="00590E99">
            <w:pPr>
              <w:spacing w:after="0" w:line="276" w:lineRule="auto"/>
              <w:jc w:val="both"/>
              <w:rPr>
                <w:rFonts w:ascii="Arial" w:eastAsia="Arial" w:hAnsi="Arial" w:cs="Arial"/>
                <w:kern w:val="0"/>
                <w:sz w:val="22"/>
                <w:szCs w:val="22"/>
                <w:lang w:eastAsia="es-MX"/>
                <w14:ligatures w14:val="none"/>
              </w:rPr>
            </w:pPr>
            <w:r w:rsidRPr="00590E99">
              <w:rPr>
                <w:rFonts w:ascii="Arial" w:eastAsia="Arial" w:hAnsi="Arial" w:cs="Arial"/>
                <w:kern w:val="0"/>
                <w:sz w:val="22"/>
                <w:szCs w:val="22"/>
                <w:lang w:eastAsia="es-MX"/>
                <w14:ligatures w14:val="none"/>
              </w:rPr>
              <w:t>Fondo de Reserva:</w:t>
            </w:r>
          </w:p>
        </w:tc>
        <w:tc>
          <w:tcPr>
            <w:tcW w:w="0" w:type="auto"/>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C8C98B2" w14:textId="77777777" w:rsidR="00590E99" w:rsidRPr="00590E99" w:rsidRDefault="00000000" w:rsidP="00590E99">
            <w:pPr>
              <w:spacing w:after="0" w:line="276" w:lineRule="auto"/>
              <w:jc w:val="both"/>
              <w:rPr>
                <w:rFonts w:ascii="Arial" w:eastAsia="Arial" w:hAnsi="Arial" w:cs="Arial"/>
                <w:kern w:val="0"/>
                <w:sz w:val="22"/>
                <w:szCs w:val="22"/>
                <w:lang w:eastAsia="es-MX"/>
                <w14:ligatures w14:val="none"/>
              </w:rPr>
            </w:pPr>
            <w:r w:rsidRPr="00590E99">
              <w:rPr>
                <w:rFonts w:ascii="Arial" w:eastAsia="Arial" w:hAnsi="Arial" w:cs="Arial"/>
                <w:kern w:val="0"/>
                <w:sz w:val="22"/>
                <w:szCs w:val="22"/>
                <w:lang w:eastAsia="es-MX"/>
                <w14:ligatures w14:val="none"/>
              </w:rPr>
              <w:t>El saldo objetivo del Fondo de Reserva se integrará por el monto equivalente a 2 (dos) meses del servicio de la deuda del monto que se contrate a través del Financiamiento durante el mes en curso (el “</w:t>
            </w:r>
            <w:r w:rsidRPr="00590E99">
              <w:rPr>
                <w:rFonts w:ascii="Arial" w:eastAsia="Arial" w:hAnsi="Arial" w:cs="Arial"/>
                <w:kern w:val="0"/>
                <w:sz w:val="22"/>
                <w:szCs w:val="22"/>
                <w:u w:val="single"/>
                <w:lang w:eastAsia="es-MX"/>
                <w14:ligatures w14:val="none"/>
              </w:rPr>
              <w:t>Fondo de Reserva</w:t>
            </w:r>
            <w:r w:rsidRPr="00590E99">
              <w:rPr>
                <w:rFonts w:ascii="Arial" w:eastAsia="Arial" w:hAnsi="Arial" w:cs="Arial"/>
                <w:kern w:val="0"/>
                <w:sz w:val="22"/>
                <w:szCs w:val="22"/>
                <w:lang w:eastAsia="es-MX"/>
                <w14:ligatures w14:val="none"/>
              </w:rPr>
              <w:t>”). El Fondo de Reserva se constituirá con recursos propios de SADM, los cuales podrán provenir de los fondos de reserva que se liberen de los Créditos Vigentes. El Fondo de Reserva será reconstituido con recursos del porcentaje asignado al Contrato de Crédito de los Ingresos Destinados al Pago.</w:t>
            </w:r>
          </w:p>
        </w:tc>
      </w:tr>
      <w:tr w:rsidR="00DA57A7" w14:paraId="68E75750" w14:textId="77777777" w:rsidTr="00F97D5C">
        <w:trPr>
          <w:trHeight w:val="853"/>
        </w:trPr>
        <w:tc>
          <w:tcPr>
            <w:tcW w:w="0" w:type="auto"/>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4A7D04A" w14:textId="77777777" w:rsidR="00590E99" w:rsidRPr="00590E99" w:rsidRDefault="00000000" w:rsidP="00590E99">
            <w:pPr>
              <w:spacing w:after="0" w:line="276" w:lineRule="auto"/>
              <w:jc w:val="both"/>
              <w:rPr>
                <w:rFonts w:ascii="Arial" w:eastAsia="Arial" w:hAnsi="Arial" w:cs="Arial"/>
                <w:kern w:val="0"/>
                <w:sz w:val="22"/>
                <w:szCs w:val="22"/>
                <w:lang w:eastAsia="es-MX"/>
                <w14:ligatures w14:val="none"/>
              </w:rPr>
            </w:pPr>
            <w:r w:rsidRPr="00590E99">
              <w:rPr>
                <w:rFonts w:ascii="Arial" w:eastAsia="Arial" w:hAnsi="Arial" w:cs="Arial"/>
                <w:kern w:val="0"/>
                <w:sz w:val="22"/>
                <w:szCs w:val="22"/>
                <w:lang w:eastAsia="es-MX"/>
                <w14:ligatures w14:val="none"/>
              </w:rPr>
              <w:lastRenderedPageBreak/>
              <w:t>Gastos Adicionales y Gastos Adicionales Contingentes</w:t>
            </w:r>
          </w:p>
        </w:tc>
        <w:tc>
          <w:tcPr>
            <w:tcW w:w="0" w:type="auto"/>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4EE5E55" w14:textId="77777777" w:rsidR="00590E99" w:rsidRPr="00590E99" w:rsidRDefault="00000000" w:rsidP="00590E99">
            <w:pPr>
              <w:spacing w:after="0" w:line="276" w:lineRule="auto"/>
              <w:jc w:val="both"/>
              <w:rPr>
                <w:rFonts w:ascii="Arial" w:eastAsia="Arial" w:hAnsi="Arial" w:cs="Arial"/>
                <w:kern w:val="0"/>
                <w:sz w:val="22"/>
                <w:szCs w:val="22"/>
                <w:lang w:eastAsia="es-MX"/>
                <w14:ligatures w14:val="none"/>
              </w:rPr>
            </w:pPr>
            <w:r w:rsidRPr="00590E99">
              <w:rPr>
                <w:rFonts w:ascii="Arial" w:eastAsia="Arial" w:hAnsi="Arial" w:cs="Arial"/>
                <w:kern w:val="0"/>
                <w:sz w:val="22"/>
                <w:szCs w:val="22"/>
                <w:lang w:eastAsia="es-MX"/>
                <w14:ligatures w14:val="none"/>
              </w:rPr>
              <w:t>Las Ofertas no considerarán Gastos Adicionales o Gastos Adicionales Contingentes, según éstos son definidos en los Lineamientos.</w:t>
            </w:r>
          </w:p>
          <w:p w14:paraId="37A5A63E" w14:textId="77777777" w:rsidR="00590E99" w:rsidRPr="00590E99" w:rsidRDefault="00590E99" w:rsidP="00590E99">
            <w:pPr>
              <w:spacing w:after="0" w:line="276" w:lineRule="auto"/>
              <w:jc w:val="both"/>
              <w:rPr>
                <w:rFonts w:ascii="Arial" w:eastAsia="Arial" w:hAnsi="Arial" w:cs="Arial"/>
                <w:kern w:val="0"/>
                <w:sz w:val="22"/>
                <w:szCs w:val="22"/>
                <w:lang w:eastAsia="es-MX"/>
                <w14:ligatures w14:val="none"/>
              </w:rPr>
            </w:pPr>
          </w:p>
        </w:tc>
      </w:tr>
      <w:tr w:rsidR="00DA57A7" w14:paraId="2C150638" w14:textId="77777777" w:rsidTr="00F97D5C">
        <w:trPr>
          <w:trHeight w:val="718"/>
        </w:trPr>
        <w:tc>
          <w:tcPr>
            <w:tcW w:w="0" w:type="auto"/>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E0D7A26" w14:textId="77777777" w:rsidR="00590E99" w:rsidRPr="00590E99" w:rsidRDefault="00000000" w:rsidP="00590E99">
            <w:pPr>
              <w:spacing w:after="0" w:line="276" w:lineRule="auto"/>
              <w:jc w:val="both"/>
              <w:rPr>
                <w:rFonts w:ascii="Arial" w:eastAsia="Arial" w:hAnsi="Arial" w:cs="Arial"/>
                <w:kern w:val="0"/>
                <w:sz w:val="22"/>
                <w:szCs w:val="22"/>
                <w:lang w:eastAsia="es-MX"/>
                <w14:ligatures w14:val="none"/>
              </w:rPr>
            </w:pPr>
            <w:r w:rsidRPr="00590E99">
              <w:rPr>
                <w:rFonts w:ascii="Arial" w:eastAsia="Arial" w:hAnsi="Arial" w:cs="Arial"/>
                <w:kern w:val="0"/>
                <w:sz w:val="22"/>
                <w:szCs w:val="22"/>
                <w:lang w:eastAsia="es-MX"/>
                <w14:ligatures w14:val="none"/>
              </w:rPr>
              <w:t xml:space="preserve">Aforo: </w:t>
            </w:r>
          </w:p>
        </w:tc>
        <w:tc>
          <w:tcPr>
            <w:tcW w:w="0" w:type="auto"/>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613AE5D" w14:textId="77777777" w:rsidR="00590E99" w:rsidRPr="00590E99" w:rsidRDefault="00000000" w:rsidP="00590E99">
            <w:pPr>
              <w:spacing w:after="0" w:line="240" w:lineRule="auto"/>
              <w:jc w:val="both"/>
              <w:rPr>
                <w:rFonts w:ascii="Arial" w:eastAsia="Arial" w:hAnsi="Arial" w:cs="Arial"/>
                <w:kern w:val="0"/>
                <w:sz w:val="22"/>
                <w:szCs w:val="22"/>
                <w:lang w:eastAsia="es-MX"/>
                <w14:ligatures w14:val="none"/>
              </w:rPr>
            </w:pPr>
            <w:r w:rsidRPr="00590E99">
              <w:rPr>
                <w:rFonts w:ascii="Arial" w:eastAsia="Arial" w:hAnsi="Arial" w:cs="Arial"/>
                <w:kern w:val="0"/>
                <w:sz w:val="22"/>
                <w:szCs w:val="22"/>
                <w:lang w:eastAsia="es-MX"/>
                <w14:ligatures w14:val="none"/>
              </w:rPr>
              <w:t xml:space="preserve">Las Ofertas deberán prever el </w:t>
            </w:r>
            <w:r w:rsidR="00210491">
              <w:rPr>
                <w:rFonts w:ascii="Arial" w:eastAsia="Arial" w:hAnsi="Arial" w:cs="Arial"/>
                <w:kern w:val="0"/>
                <w:sz w:val="22"/>
                <w:szCs w:val="22"/>
                <w:lang w:eastAsia="es-MX"/>
                <w14:ligatures w14:val="none"/>
              </w:rPr>
              <w:t>A</w:t>
            </w:r>
            <w:r w:rsidRPr="00590E99">
              <w:rPr>
                <w:rFonts w:ascii="Arial" w:eastAsia="Arial" w:hAnsi="Arial" w:cs="Arial"/>
                <w:kern w:val="0"/>
                <w:sz w:val="22"/>
                <w:szCs w:val="22"/>
                <w:lang w:eastAsia="es-MX"/>
                <w14:ligatures w14:val="none"/>
              </w:rPr>
              <w:t xml:space="preserve">foro señalado en el punto M del Apartado II de las Bases de la Licitación Pública. </w:t>
            </w:r>
          </w:p>
        </w:tc>
      </w:tr>
      <w:tr w:rsidR="00DA57A7" w14:paraId="00C9D677" w14:textId="77777777" w:rsidTr="00F97D5C">
        <w:trPr>
          <w:trHeight w:val="1438"/>
        </w:trPr>
        <w:tc>
          <w:tcPr>
            <w:tcW w:w="0" w:type="auto"/>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D9C636B" w14:textId="77777777" w:rsidR="00590E99" w:rsidRPr="00590E99" w:rsidRDefault="00000000" w:rsidP="00590E99">
            <w:pPr>
              <w:spacing w:after="0" w:line="276" w:lineRule="auto"/>
              <w:jc w:val="both"/>
              <w:rPr>
                <w:rFonts w:ascii="Arial" w:eastAsia="Arial" w:hAnsi="Arial" w:cs="Arial"/>
                <w:kern w:val="0"/>
                <w:sz w:val="22"/>
                <w:szCs w:val="22"/>
                <w:lang w:eastAsia="es-MX"/>
                <w14:ligatures w14:val="none"/>
              </w:rPr>
            </w:pPr>
            <w:r w:rsidRPr="00590E99">
              <w:rPr>
                <w:rFonts w:ascii="Arial" w:eastAsia="Arial" w:hAnsi="Arial" w:cs="Arial"/>
                <w:kern w:val="0"/>
                <w:sz w:val="22"/>
                <w:szCs w:val="22"/>
                <w:lang w:eastAsia="es-MX"/>
                <w14:ligatures w14:val="none"/>
              </w:rPr>
              <w:t>Tasa Efectiva:</w:t>
            </w:r>
          </w:p>
        </w:tc>
        <w:tc>
          <w:tcPr>
            <w:tcW w:w="0" w:type="auto"/>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39EC7E1" w14:textId="77777777" w:rsidR="00590E99" w:rsidRPr="00590E99" w:rsidRDefault="00000000" w:rsidP="00590E99">
            <w:pPr>
              <w:spacing w:after="240" w:line="276" w:lineRule="auto"/>
              <w:jc w:val="both"/>
              <w:rPr>
                <w:rFonts w:ascii="Arial" w:eastAsia="Arial" w:hAnsi="Arial" w:cs="Arial"/>
                <w:b/>
                <w:kern w:val="0"/>
                <w:sz w:val="22"/>
                <w:szCs w:val="22"/>
                <w:u w:val="single"/>
                <w:lang w:eastAsia="es-MX"/>
                <w14:ligatures w14:val="none"/>
              </w:rPr>
            </w:pPr>
            <w:r w:rsidRPr="00590E99">
              <w:rPr>
                <w:rFonts w:ascii="Arial" w:eastAsia="Arial" w:hAnsi="Arial" w:cs="Arial"/>
                <w:b/>
                <w:kern w:val="0"/>
                <w:sz w:val="22"/>
                <w:szCs w:val="22"/>
                <w:u w:val="single"/>
                <w:lang w:eastAsia="es-MX"/>
                <w14:ligatures w14:val="none"/>
              </w:rPr>
              <w:t>Cada Institución Financiera deberá calcular la tasa efectiva de su Oferta e indicarla en su Oferta, junto con la fecha de consulta de la curva de proyecciones de la TIIE de Fondeo.</w:t>
            </w:r>
          </w:p>
          <w:p w14:paraId="6D66CB91" w14:textId="77777777" w:rsidR="00590E99" w:rsidRPr="00590E99" w:rsidRDefault="00000000" w:rsidP="00590E99">
            <w:pPr>
              <w:spacing w:before="240" w:after="240" w:line="276" w:lineRule="auto"/>
              <w:jc w:val="both"/>
              <w:rPr>
                <w:rFonts w:ascii="Arial" w:eastAsia="Arial" w:hAnsi="Arial" w:cs="Arial"/>
                <w:kern w:val="0"/>
                <w:sz w:val="22"/>
                <w:szCs w:val="22"/>
                <w:lang w:eastAsia="es-MX"/>
                <w14:ligatures w14:val="none"/>
              </w:rPr>
            </w:pPr>
            <w:r w:rsidRPr="00590E99">
              <w:rPr>
                <w:rFonts w:ascii="Arial" w:eastAsia="Arial" w:hAnsi="Arial" w:cs="Arial"/>
                <w:kern w:val="0"/>
                <w:sz w:val="22"/>
                <w:szCs w:val="22"/>
                <w:lang w:eastAsia="es-MX"/>
                <w14:ligatures w14:val="none"/>
              </w:rPr>
              <w:t>SADM realizará el cálculo de la tasa efectiva de las Ofertas Calificadas (según dicho término se define en las Bases de la Convocatoria) conforme a lo establecido en la Sección Tercera de los Lineamientos y de acuerdo con las características presentadas por las Instituciones Financieras en sus Ofertas (“</w:t>
            </w:r>
            <w:r w:rsidRPr="00590E99">
              <w:rPr>
                <w:rFonts w:ascii="Arial" w:eastAsia="Arial" w:hAnsi="Arial" w:cs="Arial"/>
                <w:kern w:val="0"/>
                <w:sz w:val="22"/>
                <w:szCs w:val="22"/>
                <w:u w:val="single"/>
                <w:lang w:eastAsia="es-MX"/>
                <w14:ligatures w14:val="none"/>
              </w:rPr>
              <w:t>Tasa Efectiva</w:t>
            </w:r>
            <w:r w:rsidRPr="00590E99">
              <w:rPr>
                <w:rFonts w:ascii="Arial" w:eastAsia="Arial" w:hAnsi="Arial" w:cs="Arial"/>
                <w:kern w:val="0"/>
                <w:sz w:val="22"/>
                <w:szCs w:val="22"/>
                <w:lang w:eastAsia="es-MX"/>
                <w14:ligatures w14:val="none"/>
              </w:rPr>
              <w:t>”).</w:t>
            </w:r>
          </w:p>
          <w:p w14:paraId="1B9C68CC" w14:textId="77777777" w:rsidR="00590E99" w:rsidRPr="00590E99" w:rsidRDefault="00000000" w:rsidP="00590E99">
            <w:pPr>
              <w:spacing w:before="240" w:after="240" w:line="276" w:lineRule="auto"/>
              <w:jc w:val="both"/>
              <w:rPr>
                <w:rFonts w:ascii="Arial" w:eastAsia="Arial" w:hAnsi="Arial" w:cs="Arial"/>
                <w:kern w:val="0"/>
                <w:sz w:val="22"/>
                <w:szCs w:val="22"/>
                <w:lang w:eastAsia="es-MX"/>
                <w14:ligatures w14:val="none"/>
              </w:rPr>
            </w:pPr>
            <w:r w:rsidRPr="00590E99">
              <w:rPr>
                <w:rFonts w:ascii="Arial" w:eastAsia="Arial" w:hAnsi="Arial" w:cs="Arial"/>
                <w:kern w:val="0"/>
                <w:sz w:val="22"/>
                <w:szCs w:val="22"/>
                <w:lang w:eastAsia="es-MX"/>
                <w14:ligatures w14:val="none"/>
              </w:rPr>
              <w:t>Para el cálculo de la Tasa Efectiva, las Instituciones Financieras participantes en la Licitación Pública deberán considerar el costo relativo a la obtención de la calificación crediticia del Financiamiento ante Agencias Calificadoras, conforme a lo siguiente: $600,000.00 M.N. (seiscientos mil pesos) para cada año de vigencia de los Contratos de Crédito (“</w:t>
            </w:r>
            <w:r w:rsidRPr="00590E99">
              <w:rPr>
                <w:rFonts w:ascii="Arial" w:eastAsia="Arial" w:hAnsi="Arial" w:cs="Arial"/>
                <w:kern w:val="0"/>
                <w:sz w:val="22"/>
                <w:szCs w:val="22"/>
                <w:u w:val="single"/>
                <w:lang w:eastAsia="es-MX"/>
                <w14:ligatures w14:val="none"/>
              </w:rPr>
              <w:t>Costos Calificación Objetivo</w:t>
            </w:r>
            <w:r w:rsidRPr="00590E99">
              <w:rPr>
                <w:rFonts w:ascii="Arial" w:eastAsia="Arial" w:hAnsi="Arial" w:cs="Arial"/>
                <w:kern w:val="0"/>
                <w:sz w:val="22"/>
                <w:szCs w:val="22"/>
                <w:lang w:eastAsia="es-MX"/>
                <w14:ligatures w14:val="none"/>
              </w:rPr>
              <w:t>”). Los Costos Calificación Objetivo aplican para la calificación crediticia que la Institución Financiera exija en su oferta.</w:t>
            </w:r>
          </w:p>
          <w:p w14:paraId="5A6D1BF8" w14:textId="77777777" w:rsidR="00590E99" w:rsidRDefault="00000000" w:rsidP="00590E99">
            <w:pPr>
              <w:spacing w:before="240" w:after="0" w:line="276" w:lineRule="auto"/>
              <w:jc w:val="both"/>
              <w:rPr>
                <w:rFonts w:ascii="Arial" w:eastAsia="Arial" w:hAnsi="Arial" w:cs="Arial"/>
                <w:kern w:val="0"/>
                <w:sz w:val="22"/>
                <w:szCs w:val="22"/>
                <w:lang w:eastAsia="es-MX"/>
                <w14:ligatures w14:val="none"/>
              </w:rPr>
            </w:pPr>
            <w:r w:rsidRPr="00590E99">
              <w:rPr>
                <w:rFonts w:ascii="Arial" w:eastAsia="Arial" w:hAnsi="Arial" w:cs="Arial"/>
                <w:kern w:val="0"/>
                <w:sz w:val="22"/>
                <w:szCs w:val="22"/>
                <w:lang w:eastAsia="es-MX"/>
                <w14:ligatures w14:val="none"/>
              </w:rPr>
              <w:t>Por considerarse un proceso competitivo flexible, SADM podrá contratar aquella Oferta de mayor plazo, o que siendo de menor plazo, presente mejores condiciones de mercado. En caso de existir 2 (dos) o más Ofertas con el mismo plazo, se deberá contratar aquella con la menor Tasa Efectiva. En el caso de empate en el plazo y la Tasa Efectiva, SADM deberá optar por la Institución Financiera que ofrezca la mejor calificación a la estructura del Financiamiento.</w:t>
            </w:r>
          </w:p>
          <w:p w14:paraId="26D6EC56" w14:textId="77777777" w:rsidR="00210491" w:rsidRDefault="00210491" w:rsidP="00590E99">
            <w:pPr>
              <w:spacing w:before="240" w:after="0" w:line="276" w:lineRule="auto"/>
              <w:jc w:val="both"/>
              <w:rPr>
                <w:rFonts w:ascii="Arial" w:eastAsia="Arial" w:hAnsi="Arial" w:cs="Arial"/>
                <w:kern w:val="0"/>
                <w:sz w:val="22"/>
                <w:szCs w:val="22"/>
                <w:lang w:eastAsia="es-MX"/>
                <w14:ligatures w14:val="none"/>
              </w:rPr>
            </w:pPr>
          </w:p>
          <w:p w14:paraId="1E3560A8" w14:textId="77777777" w:rsidR="00210491" w:rsidRPr="00590E99" w:rsidRDefault="00000000" w:rsidP="00C65262">
            <w:pPr>
              <w:spacing w:after="0" w:line="276" w:lineRule="auto"/>
              <w:jc w:val="both"/>
              <w:rPr>
                <w:rFonts w:ascii="Arial" w:eastAsia="Arial" w:hAnsi="Arial" w:cs="Arial"/>
                <w:kern w:val="0"/>
                <w:sz w:val="22"/>
                <w:szCs w:val="22"/>
                <w:lang w:eastAsia="es-MX"/>
                <w14:ligatures w14:val="none"/>
              </w:rPr>
            </w:pPr>
            <w:r>
              <w:rPr>
                <w:rFonts w:ascii="Arial" w:eastAsia="Arial" w:hAnsi="Arial" w:cs="Arial"/>
                <w:kern w:val="0"/>
                <w:sz w:val="22"/>
                <w:szCs w:val="22"/>
                <w:lang w:eastAsia="es-MX"/>
                <w14:ligatures w14:val="none"/>
              </w:rPr>
              <w:t xml:space="preserve">Para el caso de que la Oferta corresponda a tasa fija conforme al inciso G de las Bases de la Licitación, en el apartado de Tasa Efectiva </w:t>
            </w:r>
            <w:r>
              <w:rPr>
                <w:rFonts w:ascii="Arial" w:eastAsia="Arial" w:hAnsi="Arial" w:cs="Arial"/>
                <w:kern w:val="0"/>
                <w:sz w:val="22"/>
                <w:szCs w:val="22"/>
                <w:lang w:eastAsia="es-MX"/>
                <w14:ligatures w14:val="none"/>
              </w:rPr>
              <w:lastRenderedPageBreak/>
              <w:t>de la Oferta se deberá incluir la tasa fija con la mención de que se oferta una tasa fija.</w:t>
            </w:r>
          </w:p>
        </w:tc>
      </w:tr>
      <w:tr w:rsidR="00DA57A7" w14:paraId="02016505" w14:textId="77777777" w:rsidTr="00F97D5C">
        <w:trPr>
          <w:trHeight w:val="840"/>
        </w:trPr>
        <w:tc>
          <w:tcPr>
            <w:tcW w:w="0" w:type="auto"/>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A354701" w14:textId="77777777" w:rsidR="00590E99" w:rsidRPr="00590E99" w:rsidRDefault="00000000" w:rsidP="00590E99">
            <w:pPr>
              <w:spacing w:after="0" w:line="276" w:lineRule="auto"/>
              <w:jc w:val="both"/>
              <w:rPr>
                <w:rFonts w:ascii="Arial" w:eastAsia="Arial" w:hAnsi="Arial" w:cs="Arial"/>
                <w:kern w:val="0"/>
                <w:sz w:val="22"/>
                <w:szCs w:val="22"/>
                <w:lang w:eastAsia="es-MX"/>
                <w14:ligatures w14:val="none"/>
              </w:rPr>
            </w:pPr>
            <w:r w:rsidRPr="00590E99">
              <w:rPr>
                <w:rFonts w:ascii="Arial" w:eastAsia="Arial" w:hAnsi="Arial" w:cs="Arial"/>
                <w:kern w:val="0"/>
                <w:sz w:val="22"/>
                <w:szCs w:val="22"/>
                <w:lang w:eastAsia="es-MX"/>
                <w14:ligatures w14:val="none"/>
              </w:rPr>
              <w:t>Comisiones:</w:t>
            </w:r>
          </w:p>
        </w:tc>
        <w:tc>
          <w:tcPr>
            <w:tcW w:w="0" w:type="auto"/>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8F1DEE9" w14:textId="77777777" w:rsidR="00590E99" w:rsidRPr="00590E99" w:rsidRDefault="00000000" w:rsidP="00590E99">
            <w:pPr>
              <w:spacing w:after="0" w:line="276" w:lineRule="auto"/>
              <w:jc w:val="both"/>
              <w:rPr>
                <w:rFonts w:ascii="Arial" w:eastAsia="Arial" w:hAnsi="Arial" w:cs="Arial"/>
                <w:kern w:val="0"/>
                <w:sz w:val="22"/>
                <w:szCs w:val="22"/>
                <w:lang w:eastAsia="es-MX"/>
                <w14:ligatures w14:val="none"/>
              </w:rPr>
            </w:pPr>
            <w:r w:rsidRPr="00590E99">
              <w:rPr>
                <w:rFonts w:ascii="Arial" w:eastAsia="Arial" w:hAnsi="Arial" w:cs="Arial"/>
                <w:kern w:val="0"/>
                <w:sz w:val="22"/>
                <w:szCs w:val="22"/>
                <w:lang w:eastAsia="es-MX"/>
                <w14:ligatures w14:val="none"/>
              </w:rPr>
              <w:t>Las Ofertas no deberán presentar comisiones, incluyendo comisiones por apertura, estructuración, penalizaciones, o sanciones de ningún tipo.</w:t>
            </w:r>
          </w:p>
        </w:tc>
      </w:tr>
      <w:tr w:rsidR="00DA57A7" w14:paraId="1ED66837" w14:textId="77777777" w:rsidTr="00F97D5C">
        <w:trPr>
          <w:trHeight w:val="1420"/>
        </w:trPr>
        <w:tc>
          <w:tcPr>
            <w:tcW w:w="0" w:type="auto"/>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A8D122A" w14:textId="77777777" w:rsidR="00590E99" w:rsidRPr="00590E99" w:rsidRDefault="00000000" w:rsidP="00590E99">
            <w:pPr>
              <w:spacing w:after="0" w:line="276" w:lineRule="auto"/>
              <w:jc w:val="both"/>
              <w:rPr>
                <w:rFonts w:ascii="Arial" w:eastAsia="Arial" w:hAnsi="Arial" w:cs="Arial"/>
                <w:kern w:val="0"/>
                <w:sz w:val="22"/>
                <w:szCs w:val="22"/>
                <w:lang w:eastAsia="es-MX"/>
                <w14:ligatures w14:val="none"/>
              </w:rPr>
            </w:pPr>
            <w:r w:rsidRPr="00590E99">
              <w:rPr>
                <w:rFonts w:ascii="Arial" w:eastAsia="Arial" w:hAnsi="Arial" w:cs="Arial"/>
                <w:kern w:val="0"/>
                <w:sz w:val="22"/>
                <w:szCs w:val="22"/>
                <w:lang w:eastAsia="es-MX"/>
                <w14:ligatures w14:val="none"/>
              </w:rPr>
              <w:t>Posibilidad de prepago:</w:t>
            </w:r>
          </w:p>
        </w:tc>
        <w:tc>
          <w:tcPr>
            <w:tcW w:w="0" w:type="auto"/>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0FE8237" w14:textId="77777777" w:rsidR="00590E99" w:rsidRPr="00590E99" w:rsidRDefault="00000000" w:rsidP="00590E99">
            <w:pPr>
              <w:spacing w:after="0" w:line="276" w:lineRule="auto"/>
              <w:jc w:val="both"/>
              <w:rPr>
                <w:rFonts w:ascii="Arial" w:eastAsia="Arial" w:hAnsi="Arial" w:cs="Arial"/>
                <w:kern w:val="0"/>
                <w:sz w:val="22"/>
                <w:szCs w:val="22"/>
                <w:lang w:eastAsia="es-MX"/>
                <w14:ligatures w14:val="none"/>
              </w:rPr>
            </w:pPr>
            <w:r w:rsidRPr="00590E99">
              <w:rPr>
                <w:rFonts w:ascii="Arial" w:eastAsia="Arial" w:hAnsi="Arial" w:cs="Arial"/>
                <w:kern w:val="0"/>
                <w:sz w:val="22"/>
                <w:szCs w:val="22"/>
                <w:lang w:eastAsia="es-MX"/>
                <w14:ligatures w14:val="none"/>
              </w:rPr>
              <w:t>Todas las Ofertas deberán conferir a SADM el derecho de realizar amortizaciones anticipadas voluntarias del Financiamiento respectivo, ya sean totales o parciales, sin que dicho pago anticipado genere comisiones o pago adicional alguno a cargo de SADM.</w:t>
            </w:r>
          </w:p>
        </w:tc>
      </w:tr>
      <w:tr w:rsidR="00DA57A7" w14:paraId="1EA06E19" w14:textId="77777777" w:rsidTr="00F97D5C">
        <w:trPr>
          <w:trHeight w:val="610"/>
        </w:trPr>
        <w:tc>
          <w:tcPr>
            <w:tcW w:w="0" w:type="auto"/>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268D448" w14:textId="77777777" w:rsidR="00590E99" w:rsidRPr="00590E99" w:rsidRDefault="00000000" w:rsidP="00590E99">
            <w:pPr>
              <w:spacing w:after="0" w:line="276" w:lineRule="auto"/>
              <w:jc w:val="both"/>
              <w:rPr>
                <w:rFonts w:ascii="Arial" w:eastAsia="Arial" w:hAnsi="Arial" w:cs="Arial"/>
                <w:kern w:val="0"/>
                <w:sz w:val="22"/>
                <w:szCs w:val="22"/>
                <w:lang w:eastAsia="es-MX"/>
                <w14:ligatures w14:val="none"/>
              </w:rPr>
            </w:pPr>
            <w:r w:rsidRPr="00590E99">
              <w:rPr>
                <w:rFonts w:ascii="Arial" w:eastAsia="Arial" w:hAnsi="Arial" w:cs="Arial"/>
                <w:kern w:val="0"/>
                <w:sz w:val="22"/>
                <w:szCs w:val="22"/>
                <w:lang w:eastAsia="es-MX"/>
                <w14:ligatures w14:val="none"/>
              </w:rPr>
              <w:t>Condiciones de las Ofertas:</w:t>
            </w:r>
          </w:p>
        </w:tc>
        <w:tc>
          <w:tcPr>
            <w:tcW w:w="0" w:type="auto"/>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AA4A0E1" w14:textId="77777777" w:rsidR="00590E99" w:rsidRPr="00590E99" w:rsidRDefault="00000000" w:rsidP="00590E99">
            <w:pPr>
              <w:spacing w:after="240" w:line="276" w:lineRule="auto"/>
              <w:jc w:val="both"/>
              <w:rPr>
                <w:rFonts w:ascii="Arial" w:eastAsia="Arial" w:hAnsi="Arial" w:cs="Arial"/>
                <w:kern w:val="0"/>
                <w:sz w:val="22"/>
                <w:szCs w:val="22"/>
                <w:lang w:eastAsia="es-MX"/>
                <w14:ligatures w14:val="none"/>
              </w:rPr>
            </w:pPr>
            <w:r w:rsidRPr="00590E99">
              <w:rPr>
                <w:rFonts w:ascii="Arial" w:eastAsia="Arial" w:hAnsi="Arial" w:cs="Arial"/>
                <w:kern w:val="0"/>
                <w:sz w:val="22"/>
                <w:szCs w:val="22"/>
                <w:lang w:eastAsia="es-MX"/>
                <w14:ligatures w14:val="none"/>
              </w:rPr>
              <w:t xml:space="preserve">Las Ofertas presentadas por las Instituciones Financieras serán consideradas Ofertas Calificadas cuando las mismas cumplan con los siguientes requisitos: </w:t>
            </w:r>
          </w:p>
          <w:p w14:paraId="08BC9F99" w14:textId="77777777" w:rsidR="00590E99" w:rsidRPr="00590E99" w:rsidRDefault="00000000" w:rsidP="00590E99">
            <w:pPr>
              <w:spacing w:after="0" w:line="276" w:lineRule="auto"/>
              <w:ind w:right="80"/>
              <w:jc w:val="both"/>
              <w:rPr>
                <w:rFonts w:ascii="Arial" w:eastAsia="Arial" w:hAnsi="Arial" w:cs="Arial"/>
                <w:kern w:val="0"/>
                <w:sz w:val="22"/>
                <w:szCs w:val="22"/>
                <w:lang w:eastAsia="es-MX"/>
                <w14:ligatures w14:val="none"/>
              </w:rPr>
            </w:pPr>
            <w:r w:rsidRPr="00590E99">
              <w:rPr>
                <w:rFonts w:ascii="Arial" w:eastAsia="Arial" w:hAnsi="Arial" w:cs="Arial"/>
                <w:kern w:val="0"/>
                <w:sz w:val="22"/>
                <w:szCs w:val="22"/>
                <w:lang w:eastAsia="es-MX"/>
                <w14:ligatures w14:val="none"/>
              </w:rPr>
              <w:t>(</w:t>
            </w:r>
            <w:r w:rsidRPr="00590E99">
              <w:rPr>
                <w:rFonts w:ascii="Arial" w:eastAsia="Arial" w:hAnsi="Arial" w:cs="Arial"/>
                <w:i/>
                <w:kern w:val="0"/>
                <w:sz w:val="22"/>
                <w:szCs w:val="22"/>
                <w:lang w:eastAsia="es-MX"/>
                <w14:ligatures w14:val="none"/>
              </w:rPr>
              <w:t>i</w:t>
            </w:r>
            <w:r w:rsidRPr="00590E99">
              <w:rPr>
                <w:rFonts w:ascii="Arial" w:eastAsia="Arial" w:hAnsi="Arial" w:cs="Arial"/>
                <w:kern w:val="0"/>
                <w:sz w:val="22"/>
                <w:szCs w:val="22"/>
                <w:lang w:eastAsia="es-MX"/>
                <w14:ligatures w14:val="none"/>
              </w:rPr>
              <w:t>) Ser irrevocables y en firme;</w:t>
            </w:r>
          </w:p>
          <w:p w14:paraId="47436B7A" w14:textId="77777777" w:rsidR="00590E99" w:rsidRPr="00590E99" w:rsidRDefault="00000000" w:rsidP="00590E99">
            <w:pPr>
              <w:spacing w:after="0" w:line="276" w:lineRule="auto"/>
              <w:ind w:left="720" w:right="80"/>
              <w:jc w:val="both"/>
              <w:rPr>
                <w:rFonts w:ascii="Arial" w:eastAsia="Arial" w:hAnsi="Arial" w:cs="Arial"/>
                <w:kern w:val="0"/>
                <w:sz w:val="22"/>
                <w:szCs w:val="22"/>
                <w:lang w:eastAsia="es-MX"/>
                <w14:ligatures w14:val="none"/>
              </w:rPr>
            </w:pPr>
            <w:r w:rsidRPr="00590E99">
              <w:rPr>
                <w:rFonts w:ascii="Arial" w:eastAsia="Arial" w:hAnsi="Arial" w:cs="Arial"/>
                <w:kern w:val="0"/>
                <w:sz w:val="22"/>
                <w:szCs w:val="22"/>
                <w:lang w:eastAsia="es-MX"/>
                <w14:ligatures w14:val="none"/>
              </w:rPr>
              <w:t xml:space="preserve"> </w:t>
            </w:r>
          </w:p>
          <w:p w14:paraId="007EF852" w14:textId="77777777" w:rsidR="00590E99" w:rsidRPr="00590E99" w:rsidRDefault="00000000" w:rsidP="00590E99">
            <w:pPr>
              <w:spacing w:after="0" w:line="276" w:lineRule="auto"/>
              <w:ind w:right="80"/>
              <w:jc w:val="both"/>
              <w:rPr>
                <w:rFonts w:ascii="Arial" w:eastAsia="Arial" w:hAnsi="Arial" w:cs="Arial"/>
                <w:kern w:val="0"/>
                <w:sz w:val="22"/>
                <w:szCs w:val="22"/>
                <w:lang w:eastAsia="es-MX"/>
                <w14:ligatures w14:val="none"/>
              </w:rPr>
            </w:pPr>
            <w:r w:rsidRPr="00590E99">
              <w:rPr>
                <w:rFonts w:ascii="Arial" w:eastAsia="Arial" w:hAnsi="Arial" w:cs="Arial"/>
                <w:kern w:val="0"/>
                <w:sz w:val="22"/>
                <w:szCs w:val="22"/>
                <w:lang w:eastAsia="es-MX"/>
                <w14:ligatures w14:val="none"/>
              </w:rPr>
              <w:t>(</w:t>
            </w:r>
            <w:r w:rsidRPr="00590E99">
              <w:rPr>
                <w:rFonts w:ascii="Arial" w:eastAsia="Arial" w:hAnsi="Arial" w:cs="Arial"/>
                <w:i/>
                <w:kern w:val="0"/>
                <w:sz w:val="22"/>
                <w:szCs w:val="22"/>
                <w:lang w:eastAsia="es-MX"/>
                <w14:ligatures w14:val="none"/>
              </w:rPr>
              <w:t>ii</w:t>
            </w:r>
            <w:r w:rsidRPr="00590E99">
              <w:rPr>
                <w:rFonts w:ascii="Arial" w:eastAsia="Arial" w:hAnsi="Arial" w:cs="Arial"/>
                <w:kern w:val="0"/>
                <w:sz w:val="22"/>
                <w:szCs w:val="22"/>
                <w:lang w:eastAsia="es-MX"/>
                <w14:ligatures w14:val="none"/>
              </w:rPr>
              <w:t>)</w:t>
            </w:r>
            <w:r w:rsidRPr="00590E99">
              <w:rPr>
                <w:rFonts w:ascii="Arial" w:eastAsia="Arial" w:hAnsi="Arial" w:cs="Arial"/>
                <w:i/>
                <w:kern w:val="0"/>
                <w:sz w:val="22"/>
                <w:szCs w:val="22"/>
                <w:lang w:eastAsia="es-MX"/>
                <w14:ligatures w14:val="none"/>
              </w:rPr>
              <w:t xml:space="preserve"> </w:t>
            </w:r>
            <w:r w:rsidRPr="00590E99">
              <w:rPr>
                <w:rFonts w:ascii="Arial" w:eastAsia="Arial" w:hAnsi="Arial" w:cs="Arial"/>
                <w:kern w:val="0"/>
                <w:sz w:val="22"/>
                <w:szCs w:val="22"/>
                <w:lang w:eastAsia="es-MX"/>
                <w14:ligatures w14:val="none"/>
              </w:rPr>
              <w:t>Contar con una vigencia mínima de 60 (sesenta) días naturales, a partir de que sean presentadas a SADM en el Acto de Presentación y Evento de Apertura de Ofertas;</w:t>
            </w:r>
          </w:p>
          <w:p w14:paraId="220922D4" w14:textId="77777777" w:rsidR="00590E99" w:rsidRPr="00590E99" w:rsidRDefault="00000000" w:rsidP="00590E99">
            <w:pPr>
              <w:spacing w:after="0" w:line="276" w:lineRule="auto"/>
              <w:ind w:left="720" w:right="80"/>
              <w:jc w:val="both"/>
              <w:rPr>
                <w:rFonts w:ascii="Arial" w:eastAsia="Arial" w:hAnsi="Arial" w:cs="Arial"/>
                <w:kern w:val="0"/>
                <w:sz w:val="22"/>
                <w:szCs w:val="22"/>
                <w:lang w:eastAsia="es-MX"/>
                <w14:ligatures w14:val="none"/>
              </w:rPr>
            </w:pPr>
            <w:r w:rsidRPr="00590E99">
              <w:rPr>
                <w:rFonts w:ascii="Arial" w:eastAsia="Arial" w:hAnsi="Arial" w:cs="Arial"/>
                <w:kern w:val="0"/>
                <w:sz w:val="22"/>
                <w:szCs w:val="22"/>
                <w:lang w:eastAsia="es-MX"/>
                <w14:ligatures w14:val="none"/>
              </w:rPr>
              <w:t xml:space="preserve"> </w:t>
            </w:r>
          </w:p>
          <w:p w14:paraId="5389EBF8" w14:textId="77777777" w:rsidR="00590E99" w:rsidRDefault="00000000" w:rsidP="00590E99">
            <w:pPr>
              <w:spacing w:after="0" w:line="276" w:lineRule="auto"/>
              <w:ind w:right="80"/>
              <w:jc w:val="both"/>
              <w:rPr>
                <w:rFonts w:ascii="Arial" w:eastAsia="Arial" w:hAnsi="Arial" w:cs="Arial"/>
                <w:kern w:val="0"/>
                <w:sz w:val="22"/>
                <w:szCs w:val="22"/>
                <w:lang w:eastAsia="es-MX"/>
                <w14:ligatures w14:val="none"/>
              </w:rPr>
            </w:pPr>
            <w:r w:rsidRPr="00590E99">
              <w:rPr>
                <w:rFonts w:ascii="Arial" w:eastAsia="Arial" w:hAnsi="Arial" w:cs="Arial"/>
                <w:kern w:val="0"/>
                <w:sz w:val="22"/>
                <w:szCs w:val="22"/>
                <w:lang w:eastAsia="es-MX"/>
                <w14:ligatures w14:val="none"/>
              </w:rPr>
              <w:t>(</w:t>
            </w:r>
            <w:r w:rsidRPr="00590E99">
              <w:rPr>
                <w:rFonts w:ascii="Arial" w:eastAsia="Arial" w:hAnsi="Arial" w:cs="Arial"/>
                <w:i/>
                <w:kern w:val="0"/>
                <w:sz w:val="22"/>
                <w:szCs w:val="22"/>
                <w:lang w:eastAsia="es-MX"/>
                <w14:ligatures w14:val="none"/>
              </w:rPr>
              <w:t>iii</w:t>
            </w:r>
            <w:r w:rsidRPr="00590E99">
              <w:rPr>
                <w:rFonts w:ascii="Arial" w:eastAsia="Arial" w:hAnsi="Arial" w:cs="Arial"/>
                <w:kern w:val="0"/>
                <w:sz w:val="22"/>
                <w:szCs w:val="22"/>
                <w:lang w:eastAsia="es-MX"/>
                <w14:ligatures w14:val="none"/>
              </w:rPr>
              <w:t>)</w:t>
            </w:r>
            <w:r w:rsidRPr="00590E99">
              <w:rPr>
                <w:rFonts w:ascii="Arial" w:eastAsia="Arial" w:hAnsi="Arial" w:cs="Arial"/>
                <w:i/>
                <w:kern w:val="0"/>
                <w:sz w:val="22"/>
                <w:szCs w:val="22"/>
                <w:lang w:eastAsia="es-MX"/>
                <w14:ligatures w14:val="none"/>
              </w:rPr>
              <w:t xml:space="preserve"> </w:t>
            </w:r>
            <w:r w:rsidRPr="00590E99">
              <w:rPr>
                <w:rFonts w:ascii="Arial" w:eastAsia="Arial" w:hAnsi="Arial" w:cs="Arial"/>
                <w:kern w:val="0"/>
                <w:sz w:val="22"/>
                <w:szCs w:val="22"/>
                <w:lang w:eastAsia="es-MX"/>
                <w14:ligatures w14:val="none"/>
              </w:rPr>
              <w:t xml:space="preserve">Cumplir con las especificaciones detalladas en la presente Convocatoria y demás documentos de la Licitación Pública; </w:t>
            </w:r>
          </w:p>
          <w:p w14:paraId="6D2E5CF9" w14:textId="77777777" w:rsidR="007846BF" w:rsidRPr="00590E99" w:rsidRDefault="007846BF" w:rsidP="00590E99">
            <w:pPr>
              <w:spacing w:after="0" w:line="276" w:lineRule="auto"/>
              <w:ind w:right="80"/>
              <w:jc w:val="both"/>
              <w:rPr>
                <w:rFonts w:ascii="Arial" w:eastAsia="Arial" w:hAnsi="Arial" w:cs="Arial"/>
                <w:kern w:val="0"/>
                <w:sz w:val="22"/>
                <w:szCs w:val="22"/>
                <w:lang w:eastAsia="es-MX"/>
                <w14:ligatures w14:val="none"/>
              </w:rPr>
            </w:pPr>
          </w:p>
          <w:p w14:paraId="26B1B6BE" w14:textId="77777777" w:rsidR="00590E99" w:rsidRPr="00590E99" w:rsidRDefault="00000000" w:rsidP="00590E99">
            <w:pPr>
              <w:spacing w:after="0" w:line="276" w:lineRule="auto"/>
              <w:ind w:right="80"/>
              <w:jc w:val="both"/>
              <w:rPr>
                <w:rFonts w:ascii="Arial" w:eastAsia="Arial" w:hAnsi="Arial" w:cs="Arial"/>
                <w:kern w:val="0"/>
                <w:sz w:val="22"/>
                <w:szCs w:val="22"/>
                <w:lang w:eastAsia="es-MX"/>
                <w14:ligatures w14:val="none"/>
              </w:rPr>
            </w:pPr>
            <w:r w:rsidRPr="00590E99">
              <w:rPr>
                <w:rFonts w:ascii="Arial" w:eastAsia="Arial" w:hAnsi="Arial" w:cs="Arial"/>
                <w:kern w:val="0"/>
                <w:sz w:val="22"/>
                <w:szCs w:val="22"/>
                <w:lang w:eastAsia="es-MX"/>
                <w14:ligatures w14:val="none"/>
              </w:rPr>
              <w:t>(</w:t>
            </w:r>
            <w:r w:rsidRPr="00590E99">
              <w:rPr>
                <w:rFonts w:ascii="Arial" w:eastAsia="Arial" w:hAnsi="Arial" w:cs="Arial"/>
                <w:i/>
                <w:kern w:val="0"/>
                <w:sz w:val="22"/>
                <w:szCs w:val="22"/>
                <w:lang w:eastAsia="es-MX"/>
                <w14:ligatures w14:val="none"/>
              </w:rPr>
              <w:t>iv</w:t>
            </w:r>
            <w:r w:rsidRPr="00590E99">
              <w:rPr>
                <w:rFonts w:ascii="Arial" w:eastAsia="Arial" w:hAnsi="Arial" w:cs="Arial"/>
                <w:kern w:val="0"/>
                <w:sz w:val="22"/>
                <w:szCs w:val="22"/>
                <w:lang w:eastAsia="es-MX"/>
                <w14:ligatures w14:val="none"/>
              </w:rPr>
              <w:t>)</w:t>
            </w:r>
            <w:r w:rsidRPr="00590E99">
              <w:rPr>
                <w:rFonts w:ascii="Arial" w:eastAsia="Arial" w:hAnsi="Arial" w:cs="Arial"/>
                <w:i/>
                <w:kern w:val="0"/>
                <w:sz w:val="22"/>
                <w:szCs w:val="22"/>
                <w:lang w:eastAsia="es-MX"/>
                <w14:ligatures w14:val="none"/>
              </w:rPr>
              <w:t xml:space="preserve"> </w:t>
            </w:r>
            <w:r w:rsidRPr="00590E99">
              <w:rPr>
                <w:rFonts w:ascii="Arial" w:eastAsia="Arial" w:hAnsi="Arial" w:cs="Arial"/>
                <w:kern w:val="0"/>
                <w:sz w:val="22"/>
                <w:szCs w:val="22"/>
                <w:lang w:eastAsia="es-MX"/>
                <w14:ligatures w14:val="none"/>
              </w:rPr>
              <w:t>Presentarse por un plazo de 15 (quince) años, 20 (veinte) años o 25 (veinticinco) años</w:t>
            </w:r>
            <w:r w:rsidR="007846BF">
              <w:rPr>
                <w:rFonts w:ascii="Arial" w:eastAsia="Arial" w:hAnsi="Arial" w:cs="Arial"/>
                <w:kern w:val="0"/>
                <w:sz w:val="22"/>
                <w:szCs w:val="22"/>
                <w:lang w:eastAsia="es-MX"/>
                <w14:ligatures w14:val="none"/>
              </w:rPr>
              <w:t>, en el entendido que las Ofertas serán desechadas en caso de ofertar plazos de pago distintos a los anteriores</w:t>
            </w:r>
            <w:r w:rsidRPr="00590E99">
              <w:rPr>
                <w:rFonts w:ascii="Arial" w:eastAsia="Arial" w:hAnsi="Arial" w:cs="Arial"/>
                <w:kern w:val="0"/>
                <w:sz w:val="22"/>
                <w:szCs w:val="22"/>
                <w:lang w:eastAsia="es-MX"/>
                <w14:ligatures w14:val="none"/>
              </w:rPr>
              <w:t>;</w:t>
            </w:r>
          </w:p>
          <w:p w14:paraId="0ABC5B49" w14:textId="77777777" w:rsidR="00590E99" w:rsidRPr="00590E99" w:rsidRDefault="00000000" w:rsidP="00590E99">
            <w:pPr>
              <w:spacing w:after="0" w:line="276" w:lineRule="auto"/>
              <w:ind w:left="720" w:right="80"/>
              <w:jc w:val="both"/>
              <w:rPr>
                <w:rFonts w:ascii="Arial" w:eastAsia="Arial" w:hAnsi="Arial" w:cs="Arial"/>
                <w:kern w:val="0"/>
                <w:sz w:val="22"/>
                <w:szCs w:val="22"/>
                <w:lang w:eastAsia="es-MX"/>
                <w14:ligatures w14:val="none"/>
              </w:rPr>
            </w:pPr>
            <w:r w:rsidRPr="00590E99">
              <w:rPr>
                <w:rFonts w:ascii="Arial" w:eastAsia="Arial" w:hAnsi="Arial" w:cs="Arial"/>
                <w:kern w:val="0"/>
                <w:sz w:val="22"/>
                <w:szCs w:val="22"/>
                <w:lang w:eastAsia="es-MX"/>
                <w14:ligatures w14:val="none"/>
              </w:rPr>
              <w:t xml:space="preserve"> </w:t>
            </w:r>
          </w:p>
          <w:p w14:paraId="7706C533" w14:textId="77777777" w:rsidR="00590E99" w:rsidRPr="00590E99" w:rsidRDefault="00000000" w:rsidP="00590E99">
            <w:pPr>
              <w:spacing w:after="0" w:line="264" w:lineRule="auto"/>
              <w:ind w:right="80"/>
              <w:jc w:val="both"/>
              <w:rPr>
                <w:rFonts w:ascii="Arial" w:eastAsia="Arial" w:hAnsi="Arial" w:cs="Arial"/>
                <w:kern w:val="0"/>
                <w:sz w:val="22"/>
                <w:szCs w:val="22"/>
                <w:lang w:eastAsia="es-MX"/>
                <w14:ligatures w14:val="none"/>
              </w:rPr>
            </w:pPr>
            <w:r w:rsidRPr="00590E99">
              <w:rPr>
                <w:rFonts w:ascii="Arial" w:eastAsia="Arial" w:hAnsi="Arial" w:cs="Arial"/>
                <w:kern w:val="0"/>
                <w:sz w:val="22"/>
                <w:szCs w:val="22"/>
                <w:lang w:eastAsia="es-MX"/>
                <w14:ligatures w14:val="none"/>
              </w:rPr>
              <w:t>(</w:t>
            </w:r>
            <w:r w:rsidRPr="00590E99">
              <w:rPr>
                <w:rFonts w:ascii="Arial" w:eastAsia="Arial" w:hAnsi="Arial" w:cs="Arial"/>
                <w:i/>
                <w:kern w:val="0"/>
                <w:sz w:val="22"/>
                <w:szCs w:val="22"/>
                <w:lang w:eastAsia="es-MX"/>
                <w14:ligatures w14:val="none"/>
              </w:rPr>
              <w:t>v</w:t>
            </w:r>
            <w:r w:rsidRPr="00590E99">
              <w:rPr>
                <w:rFonts w:ascii="Arial" w:eastAsia="Arial" w:hAnsi="Arial" w:cs="Arial"/>
                <w:kern w:val="0"/>
                <w:sz w:val="22"/>
                <w:szCs w:val="22"/>
                <w:lang w:eastAsia="es-MX"/>
                <w14:ligatures w14:val="none"/>
              </w:rPr>
              <w:t>) Presentarse por alguno de los siguientes destinos: (a) Refinanciamiento y/o Reestructura, o (b) Nuevo Financiamiento;</w:t>
            </w:r>
          </w:p>
          <w:p w14:paraId="59C832E2" w14:textId="77777777" w:rsidR="00590E99" w:rsidRPr="00590E99" w:rsidRDefault="00000000" w:rsidP="00590E99">
            <w:pPr>
              <w:spacing w:after="0" w:line="276" w:lineRule="auto"/>
              <w:ind w:left="720" w:right="80"/>
              <w:jc w:val="both"/>
              <w:rPr>
                <w:rFonts w:ascii="Arial" w:eastAsia="Arial" w:hAnsi="Arial" w:cs="Arial"/>
                <w:kern w:val="0"/>
                <w:sz w:val="22"/>
                <w:szCs w:val="22"/>
                <w:lang w:eastAsia="es-MX"/>
                <w14:ligatures w14:val="none"/>
              </w:rPr>
            </w:pPr>
            <w:r w:rsidRPr="00590E99">
              <w:rPr>
                <w:rFonts w:ascii="Arial" w:eastAsia="Arial" w:hAnsi="Arial" w:cs="Arial"/>
                <w:kern w:val="0"/>
                <w:sz w:val="22"/>
                <w:szCs w:val="22"/>
                <w:lang w:eastAsia="es-MX"/>
                <w14:ligatures w14:val="none"/>
              </w:rPr>
              <w:t xml:space="preserve"> </w:t>
            </w:r>
          </w:p>
          <w:p w14:paraId="7054DD98" w14:textId="77777777" w:rsidR="00590E99" w:rsidRPr="00590E99" w:rsidRDefault="00000000" w:rsidP="00590E99">
            <w:pPr>
              <w:spacing w:after="0" w:line="276" w:lineRule="auto"/>
              <w:ind w:right="80"/>
              <w:jc w:val="both"/>
              <w:rPr>
                <w:rFonts w:ascii="Arial" w:eastAsia="Arial" w:hAnsi="Arial" w:cs="Arial"/>
                <w:kern w:val="0"/>
                <w:sz w:val="22"/>
                <w:szCs w:val="22"/>
                <w:lang w:eastAsia="es-MX"/>
                <w14:ligatures w14:val="none"/>
              </w:rPr>
            </w:pPr>
            <w:r w:rsidRPr="00590E99">
              <w:rPr>
                <w:rFonts w:ascii="Arial" w:eastAsia="Arial" w:hAnsi="Arial" w:cs="Arial"/>
                <w:kern w:val="0"/>
                <w:sz w:val="22"/>
                <w:szCs w:val="22"/>
                <w:lang w:eastAsia="es-MX"/>
                <w14:ligatures w14:val="none"/>
              </w:rPr>
              <w:t>(</w:t>
            </w:r>
            <w:r w:rsidRPr="00590E99">
              <w:rPr>
                <w:rFonts w:ascii="Arial" w:eastAsia="Arial" w:hAnsi="Arial" w:cs="Arial"/>
                <w:i/>
                <w:kern w:val="0"/>
                <w:sz w:val="22"/>
                <w:szCs w:val="22"/>
                <w:lang w:eastAsia="es-MX"/>
                <w14:ligatures w14:val="none"/>
              </w:rPr>
              <w:t>vi</w:t>
            </w:r>
            <w:r w:rsidRPr="00590E99">
              <w:rPr>
                <w:rFonts w:ascii="Arial" w:eastAsia="Arial" w:hAnsi="Arial" w:cs="Arial"/>
                <w:kern w:val="0"/>
                <w:sz w:val="22"/>
                <w:szCs w:val="22"/>
                <w:lang w:eastAsia="es-MX"/>
                <w14:ligatures w14:val="none"/>
              </w:rPr>
              <w:t xml:space="preserve">) Presentarse </w:t>
            </w:r>
            <w:r w:rsidR="00210491">
              <w:rPr>
                <w:rFonts w:ascii="Arial" w:eastAsia="Arial" w:hAnsi="Arial" w:cs="Arial"/>
                <w:kern w:val="0"/>
                <w:sz w:val="22"/>
                <w:szCs w:val="22"/>
                <w:lang w:eastAsia="es-MX"/>
                <w14:ligatures w14:val="none"/>
              </w:rPr>
              <w:t xml:space="preserve">al menos </w:t>
            </w:r>
            <w:r w:rsidRPr="00590E99">
              <w:rPr>
                <w:rFonts w:ascii="Arial" w:eastAsia="Arial" w:hAnsi="Arial" w:cs="Arial"/>
                <w:kern w:val="0"/>
                <w:sz w:val="22"/>
                <w:szCs w:val="22"/>
                <w:lang w:eastAsia="es-MX"/>
                <w14:ligatures w14:val="none"/>
              </w:rPr>
              <w:t>por el Monto Mínimo y con una exposición máxima hasta por el Monto del Refinanciamiento y/o Reestructura o el Monto del Nuevo Financiamiento, conforme al destino que corresponda a la Oferta;</w:t>
            </w:r>
          </w:p>
          <w:p w14:paraId="02C5F3BA" w14:textId="77777777" w:rsidR="00590E99" w:rsidRPr="00590E99" w:rsidRDefault="00590E99" w:rsidP="00590E99">
            <w:pPr>
              <w:spacing w:after="0" w:line="276" w:lineRule="auto"/>
              <w:ind w:right="80"/>
              <w:jc w:val="both"/>
              <w:rPr>
                <w:rFonts w:ascii="Arial" w:eastAsia="Arial" w:hAnsi="Arial" w:cs="Arial"/>
                <w:kern w:val="0"/>
                <w:sz w:val="22"/>
                <w:szCs w:val="22"/>
                <w:lang w:eastAsia="es-MX"/>
                <w14:ligatures w14:val="none"/>
              </w:rPr>
            </w:pPr>
          </w:p>
          <w:p w14:paraId="7F23E26F" w14:textId="77777777" w:rsidR="00590E99" w:rsidRPr="00590E99" w:rsidRDefault="00000000" w:rsidP="00590E99">
            <w:pPr>
              <w:spacing w:after="0" w:line="276" w:lineRule="auto"/>
              <w:ind w:right="80"/>
              <w:jc w:val="both"/>
              <w:rPr>
                <w:rFonts w:ascii="Arial" w:eastAsia="Arial" w:hAnsi="Arial" w:cs="Arial"/>
                <w:kern w:val="0"/>
                <w:sz w:val="22"/>
                <w:szCs w:val="22"/>
                <w:lang w:eastAsia="es-MX"/>
                <w14:ligatures w14:val="none"/>
              </w:rPr>
            </w:pPr>
            <w:r w:rsidRPr="00590E99">
              <w:rPr>
                <w:rFonts w:ascii="Arial" w:eastAsia="Arial" w:hAnsi="Arial" w:cs="Arial"/>
                <w:kern w:val="0"/>
                <w:sz w:val="22"/>
                <w:szCs w:val="22"/>
                <w:lang w:eastAsia="es-MX"/>
                <w14:ligatures w14:val="none"/>
              </w:rPr>
              <w:t>(</w:t>
            </w:r>
            <w:r w:rsidRPr="00590E99">
              <w:rPr>
                <w:rFonts w:ascii="Arial" w:eastAsia="Arial" w:hAnsi="Arial" w:cs="Arial"/>
                <w:i/>
                <w:kern w:val="0"/>
                <w:sz w:val="22"/>
                <w:szCs w:val="22"/>
                <w:lang w:eastAsia="es-MX"/>
                <w14:ligatures w14:val="none"/>
              </w:rPr>
              <w:t>vii</w:t>
            </w:r>
            <w:r w:rsidRPr="00590E99">
              <w:rPr>
                <w:rFonts w:ascii="Arial" w:eastAsia="Arial" w:hAnsi="Arial" w:cs="Arial"/>
                <w:kern w:val="0"/>
                <w:sz w:val="22"/>
                <w:szCs w:val="22"/>
                <w:lang w:eastAsia="es-MX"/>
                <w14:ligatures w14:val="none"/>
              </w:rPr>
              <w:t>) Conferir a SADM el derecho de realizar amortizaciones anticipadas voluntarias del Financiamiento respectivo, ya sean totales o parciales, sin que dicho pago anticipado genere comisiones o pago adicional alguno a cargo de SADM;</w:t>
            </w:r>
          </w:p>
          <w:p w14:paraId="1EB2C18D" w14:textId="77777777" w:rsidR="00590E99" w:rsidRPr="00590E99" w:rsidRDefault="00000000" w:rsidP="00590E99">
            <w:pPr>
              <w:spacing w:after="0" w:line="276" w:lineRule="auto"/>
              <w:ind w:left="720" w:right="80"/>
              <w:jc w:val="both"/>
              <w:rPr>
                <w:rFonts w:ascii="Arial" w:eastAsia="Arial" w:hAnsi="Arial" w:cs="Arial"/>
                <w:kern w:val="0"/>
                <w:sz w:val="22"/>
                <w:szCs w:val="22"/>
                <w:lang w:eastAsia="es-MX"/>
                <w14:ligatures w14:val="none"/>
              </w:rPr>
            </w:pPr>
            <w:r w:rsidRPr="00590E99">
              <w:rPr>
                <w:rFonts w:ascii="Arial" w:eastAsia="Arial" w:hAnsi="Arial" w:cs="Arial"/>
                <w:kern w:val="0"/>
                <w:sz w:val="22"/>
                <w:szCs w:val="22"/>
                <w:lang w:eastAsia="es-MX"/>
                <w14:ligatures w14:val="none"/>
              </w:rPr>
              <w:t xml:space="preserve"> </w:t>
            </w:r>
          </w:p>
          <w:p w14:paraId="4AB80721" w14:textId="77777777" w:rsidR="00590E99" w:rsidRPr="00590E99" w:rsidRDefault="00000000" w:rsidP="00590E99">
            <w:pPr>
              <w:spacing w:after="0" w:line="276" w:lineRule="auto"/>
              <w:ind w:right="80"/>
              <w:jc w:val="both"/>
              <w:rPr>
                <w:rFonts w:ascii="Arial" w:eastAsia="Arial" w:hAnsi="Arial" w:cs="Arial"/>
                <w:kern w:val="0"/>
                <w:sz w:val="22"/>
                <w:szCs w:val="22"/>
                <w:lang w:eastAsia="es-MX"/>
                <w14:ligatures w14:val="none"/>
              </w:rPr>
            </w:pPr>
            <w:r w:rsidRPr="00590E99">
              <w:rPr>
                <w:rFonts w:ascii="Arial" w:eastAsia="Arial" w:hAnsi="Arial" w:cs="Arial"/>
                <w:kern w:val="0"/>
                <w:sz w:val="22"/>
                <w:szCs w:val="22"/>
                <w:lang w:eastAsia="es-MX"/>
                <w14:ligatures w14:val="none"/>
              </w:rPr>
              <w:t>(</w:t>
            </w:r>
            <w:r w:rsidRPr="00590E99">
              <w:rPr>
                <w:rFonts w:ascii="Arial" w:eastAsia="Arial" w:hAnsi="Arial" w:cs="Arial"/>
                <w:i/>
                <w:kern w:val="0"/>
                <w:sz w:val="22"/>
                <w:szCs w:val="22"/>
                <w:lang w:eastAsia="es-MX"/>
                <w14:ligatures w14:val="none"/>
              </w:rPr>
              <w:t>viii</w:t>
            </w:r>
            <w:r w:rsidRPr="00590E99">
              <w:rPr>
                <w:rFonts w:ascii="Arial" w:eastAsia="Arial" w:hAnsi="Arial" w:cs="Arial"/>
                <w:kern w:val="0"/>
                <w:sz w:val="22"/>
                <w:szCs w:val="22"/>
                <w:lang w:eastAsia="es-MX"/>
                <w14:ligatures w14:val="none"/>
              </w:rPr>
              <w:t>) Permitir que SADM formalice los Contratos de Crédito y realice los trámites administrativos de apertura del crédito sin que se cobre alguna comisión, cuota o cantidad alguna;</w:t>
            </w:r>
          </w:p>
          <w:p w14:paraId="10F64CB7" w14:textId="77777777" w:rsidR="00590E99" w:rsidRPr="00590E99" w:rsidRDefault="00000000" w:rsidP="00590E99">
            <w:pPr>
              <w:spacing w:after="0" w:line="276" w:lineRule="auto"/>
              <w:ind w:left="720" w:right="80"/>
              <w:jc w:val="both"/>
              <w:rPr>
                <w:rFonts w:ascii="Arial" w:eastAsia="Arial" w:hAnsi="Arial" w:cs="Arial"/>
                <w:kern w:val="0"/>
                <w:sz w:val="22"/>
                <w:szCs w:val="22"/>
                <w:lang w:eastAsia="es-MX"/>
                <w14:ligatures w14:val="none"/>
              </w:rPr>
            </w:pPr>
            <w:r w:rsidRPr="00590E99">
              <w:rPr>
                <w:rFonts w:ascii="Arial" w:eastAsia="Arial" w:hAnsi="Arial" w:cs="Arial"/>
                <w:kern w:val="0"/>
                <w:sz w:val="22"/>
                <w:szCs w:val="22"/>
                <w:lang w:eastAsia="es-MX"/>
                <w14:ligatures w14:val="none"/>
              </w:rPr>
              <w:t xml:space="preserve"> </w:t>
            </w:r>
          </w:p>
          <w:p w14:paraId="53E9C625" w14:textId="77777777" w:rsidR="00590E99" w:rsidRPr="00590E99" w:rsidRDefault="00000000" w:rsidP="00590E99">
            <w:pPr>
              <w:spacing w:after="0" w:line="276" w:lineRule="auto"/>
              <w:ind w:right="80"/>
              <w:jc w:val="both"/>
              <w:rPr>
                <w:rFonts w:ascii="Arial" w:eastAsia="Arial" w:hAnsi="Arial" w:cs="Arial"/>
                <w:kern w:val="0"/>
                <w:sz w:val="22"/>
                <w:szCs w:val="22"/>
                <w:lang w:eastAsia="es-MX"/>
                <w14:ligatures w14:val="none"/>
              </w:rPr>
            </w:pPr>
            <w:r w:rsidRPr="00590E99">
              <w:rPr>
                <w:rFonts w:ascii="Arial" w:eastAsia="Arial" w:hAnsi="Arial" w:cs="Arial"/>
                <w:kern w:val="0"/>
                <w:sz w:val="22"/>
                <w:szCs w:val="22"/>
                <w:lang w:eastAsia="es-MX"/>
                <w14:ligatures w14:val="none"/>
              </w:rPr>
              <w:t>(</w:t>
            </w:r>
            <w:r w:rsidRPr="00590E99">
              <w:rPr>
                <w:rFonts w:ascii="Arial" w:eastAsia="Arial" w:hAnsi="Arial" w:cs="Arial"/>
                <w:i/>
                <w:kern w:val="0"/>
                <w:sz w:val="22"/>
                <w:szCs w:val="22"/>
                <w:lang w:eastAsia="es-MX"/>
                <w14:ligatures w14:val="none"/>
              </w:rPr>
              <w:t>ix</w:t>
            </w:r>
            <w:r w:rsidRPr="00590E99">
              <w:rPr>
                <w:rFonts w:ascii="Arial" w:eastAsia="Arial" w:hAnsi="Arial" w:cs="Arial"/>
                <w:kern w:val="0"/>
                <w:sz w:val="22"/>
                <w:szCs w:val="22"/>
                <w:lang w:eastAsia="es-MX"/>
                <w14:ligatures w14:val="none"/>
              </w:rPr>
              <w:t xml:space="preserve">) Que exprese el resto de las características del Financiamiento señaladas en el Modelo de Oferta (según dicho término se define más adelante), que se adjunta a las Bases de la Licitación como </w:t>
            </w:r>
            <w:r w:rsidRPr="00590E99">
              <w:rPr>
                <w:rFonts w:ascii="Arial" w:eastAsia="Arial" w:hAnsi="Arial" w:cs="Arial"/>
                <w:b/>
                <w:kern w:val="0"/>
                <w:sz w:val="22"/>
                <w:szCs w:val="22"/>
                <w:lang w:eastAsia="es-MX"/>
                <w14:ligatures w14:val="none"/>
              </w:rPr>
              <w:t>Anexo “C”</w:t>
            </w:r>
            <w:r w:rsidRPr="00590E99">
              <w:rPr>
                <w:rFonts w:ascii="Arial" w:eastAsia="Arial" w:hAnsi="Arial" w:cs="Arial"/>
                <w:kern w:val="0"/>
                <w:sz w:val="22"/>
                <w:szCs w:val="22"/>
                <w:lang w:eastAsia="es-MX"/>
                <w14:ligatures w14:val="none"/>
              </w:rPr>
              <w:t>; y</w:t>
            </w:r>
          </w:p>
          <w:p w14:paraId="4A636616" w14:textId="77777777" w:rsidR="00590E99" w:rsidRPr="00590E99" w:rsidRDefault="00000000" w:rsidP="00590E99">
            <w:pPr>
              <w:spacing w:after="0" w:line="276" w:lineRule="auto"/>
              <w:ind w:left="720" w:right="80"/>
              <w:jc w:val="both"/>
              <w:rPr>
                <w:rFonts w:ascii="Arial" w:eastAsia="Arial" w:hAnsi="Arial" w:cs="Arial"/>
                <w:kern w:val="0"/>
                <w:sz w:val="22"/>
                <w:szCs w:val="22"/>
                <w:lang w:eastAsia="es-MX"/>
                <w14:ligatures w14:val="none"/>
              </w:rPr>
            </w:pPr>
            <w:r w:rsidRPr="00590E99">
              <w:rPr>
                <w:rFonts w:ascii="Arial" w:eastAsia="Arial" w:hAnsi="Arial" w:cs="Arial"/>
                <w:kern w:val="0"/>
                <w:sz w:val="22"/>
                <w:szCs w:val="22"/>
                <w:lang w:eastAsia="es-MX"/>
                <w14:ligatures w14:val="none"/>
              </w:rPr>
              <w:t xml:space="preserve"> </w:t>
            </w:r>
          </w:p>
          <w:p w14:paraId="6250425E" w14:textId="77777777" w:rsidR="00590E99" w:rsidRPr="00590E99" w:rsidRDefault="00000000" w:rsidP="00590E99">
            <w:pPr>
              <w:spacing w:after="0" w:line="276" w:lineRule="auto"/>
              <w:ind w:right="80"/>
              <w:jc w:val="both"/>
              <w:rPr>
                <w:rFonts w:ascii="Arial" w:eastAsia="Arial" w:hAnsi="Arial" w:cs="Arial"/>
                <w:kern w:val="0"/>
                <w:sz w:val="22"/>
                <w:szCs w:val="22"/>
                <w:lang w:eastAsia="es-MX"/>
                <w14:ligatures w14:val="none"/>
              </w:rPr>
            </w:pPr>
            <w:r w:rsidRPr="00590E99">
              <w:rPr>
                <w:rFonts w:ascii="Arial" w:eastAsia="Arial" w:hAnsi="Arial" w:cs="Arial"/>
                <w:kern w:val="0"/>
                <w:sz w:val="22"/>
                <w:szCs w:val="22"/>
                <w:lang w:eastAsia="es-MX"/>
                <w14:ligatures w14:val="none"/>
              </w:rPr>
              <w:t>(</w:t>
            </w:r>
            <w:r w:rsidRPr="00590E99">
              <w:rPr>
                <w:rFonts w:ascii="Arial" w:eastAsia="Arial" w:hAnsi="Arial" w:cs="Arial"/>
                <w:i/>
                <w:kern w:val="0"/>
                <w:sz w:val="22"/>
                <w:szCs w:val="22"/>
                <w:lang w:eastAsia="es-MX"/>
                <w14:ligatures w14:val="none"/>
              </w:rPr>
              <w:t>x</w:t>
            </w:r>
            <w:r w:rsidRPr="00590E99">
              <w:rPr>
                <w:rFonts w:ascii="Arial" w:eastAsia="Arial" w:hAnsi="Arial" w:cs="Arial"/>
                <w:kern w:val="0"/>
                <w:sz w:val="22"/>
                <w:szCs w:val="22"/>
                <w:lang w:eastAsia="es-MX"/>
                <w14:ligatures w14:val="none"/>
              </w:rPr>
              <w:t>) Presentarse en sobre cerrado, idioma español e incluir todos los requisitos previstos en la Convocatoria, los Lineamientos y en las Bases de la Licitación.</w:t>
            </w:r>
          </w:p>
          <w:p w14:paraId="3C0EEAF6" w14:textId="77777777" w:rsidR="00590E99" w:rsidRPr="00590E99" w:rsidRDefault="00000000" w:rsidP="00590E99">
            <w:pPr>
              <w:spacing w:after="0" w:line="276" w:lineRule="auto"/>
              <w:ind w:left="720" w:right="80"/>
              <w:jc w:val="both"/>
              <w:rPr>
                <w:rFonts w:ascii="Arial" w:eastAsia="Arial" w:hAnsi="Arial" w:cs="Arial"/>
                <w:kern w:val="0"/>
                <w:sz w:val="22"/>
                <w:szCs w:val="22"/>
                <w:lang w:eastAsia="es-MX"/>
                <w14:ligatures w14:val="none"/>
              </w:rPr>
            </w:pPr>
            <w:r w:rsidRPr="00590E99">
              <w:rPr>
                <w:rFonts w:ascii="Arial" w:eastAsia="Arial" w:hAnsi="Arial" w:cs="Arial"/>
                <w:kern w:val="0"/>
                <w:sz w:val="22"/>
                <w:szCs w:val="22"/>
                <w:lang w:eastAsia="es-MX"/>
                <w14:ligatures w14:val="none"/>
              </w:rPr>
              <w:t xml:space="preserve"> </w:t>
            </w:r>
          </w:p>
          <w:p w14:paraId="2358BEE7" w14:textId="77777777" w:rsidR="00590E99" w:rsidRPr="00590E99" w:rsidRDefault="00000000" w:rsidP="00590E99">
            <w:pPr>
              <w:spacing w:after="0" w:line="276" w:lineRule="auto"/>
              <w:ind w:right="-20"/>
              <w:jc w:val="both"/>
              <w:rPr>
                <w:rFonts w:ascii="Arial" w:eastAsia="Arial" w:hAnsi="Arial" w:cs="Arial"/>
                <w:kern w:val="0"/>
                <w:sz w:val="22"/>
                <w:szCs w:val="22"/>
                <w:lang w:eastAsia="es-MX"/>
                <w14:ligatures w14:val="none"/>
              </w:rPr>
            </w:pPr>
            <w:r w:rsidRPr="00590E99">
              <w:rPr>
                <w:rFonts w:ascii="Arial" w:eastAsia="Arial" w:hAnsi="Arial" w:cs="Arial"/>
                <w:kern w:val="0"/>
                <w:sz w:val="22"/>
                <w:szCs w:val="22"/>
                <w:lang w:eastAsia="es-MX"/>
                <w14:ligatures w14:val="none"/>
              </w:rPr>
              <w:t xml:space="preserve">Los costos en que incurran las Instituciones Financieras interesadas en participar en la Licitación correrán a su cargo, sin que exista responsabilidad alguna por parte de SADM de reembolsarlos, aún en el caso de la suspensión y/o cancelación de la Licitación Pública. </w:t>
            </w:r>
          </w:p>
        </w:tc>
      </w:tr>
    </w:tbl>
    <w:p w14:paraId="0BAC882E" w14:textId="77777777" w:rsidR="00590E99" w:rsidRPr="00590E99" w:rsidRDefault="00590E99" w:rsidP="00590E99">
      <w:pPr>
        <w:spacing w:after="0" w:line="276" w:lineRule="auto"/>
        <w:jc w:val="center"/>
        <w:rPr>
          <w:rFonts w:ascii="Arial" w:eastAsia="Arial" w:hAnsi="Arial" w:cs="Arial"/>
          <w:kern w:val="0"/>
          <w:sz w:val="22"/>
          <w:szCs w:val="22"/>
          <w:lang w:eastAsia="es-MX"/>
          <w14:ligatures w14:val="none"/>
        </w:rPr>
      </w:pPr>
    </w:p>
    <w:p w14:paraId="74F1110B" w14:textId="77777777" w:rsidR="00590E99" w:rsidRPr="00590E99" w:rsidRDefault="00000000" w:rsidP="00590E99">
      <w:pPr>
        <w:spacing w:after="0" w:line="276" w:lineRule="auto"/>
        <w:jc w:val="both"/>
        <w:rPr>
          <w:rFonts w:ascii="Arial" w:eastAsia="Arial" w:hAnsi="Arial" w:cs="Arial"/>
          <w:kern w:val="0"/>
          <w:sz w:val="22"/>
          <w:szCs w:val="22"/>
          <w:lang w:eastAsia="es-MX"/>
          <w14:ligatures w14:val="none"/>
        </w:rPr>
      </w:pPr>
      <w:r w:rsidRPr="00590E99">
        <w:rPr>
          <w:rFonts w:ascii="Arial" w:eastAsia="Arial" w:hAnsi="Arial" w:cs="Arial"/>
          <w:kern w:val="0"/>
          <w:sz w:val="22"/>
          <w:szCs w:val="22"/>
          <w:lang w:eastAsia="es-MX"/>
          <w14:ligatures w14:val="none"/>
        </w:rPr>
        <w:t>[El/la] representante de la Institución Financiera manifiesta, bajo protesta de decir verdad, que:</w:t>
      </w:r>
    </w:p>
    <w:p w14:paraId="5F27C602" w14:textId="77777777" w:rsidR="00590E99" w:rsidRPr="00590E99" w:rsidRDefault="00590E99" w:rsidP="00590E99">
      <w:pPr>
        <w:spacing w:after="0" w:line="276" w:lineRule="auto"/>
        <w:jc w:val="both"/>
        <w:rPr>
          <w:rFonts w:ascii="Arial" w:eastAsia="Arial" w:hAnsi="Arial" w:cs="Arial"/>
          <w:kern w:val="0"/>
          <w:sz w:val="22"/>
          <w:szCs w:val="22"/>
          <w:lang w:eastAsia="es-MX"/>
          <w14:ligatures w14:val="none"/>
        </w:rPr>
      </w:pPr>
    </w:p>
    <w:p w14:paraId="13E4340A" w14:textId="77777777" w:rsidR="00590E99" w:rsidRPr="00590E99" w:rsidRDefault="00000000" w:rsidP="00590E99">
      <w:pPr>
        <w:numPr>
          <w:ilvl w:val="0"/>
          <w:numId w:val="2"/>
        </w:numPr>
        <w:spacing w:after="0" w:line="276" w:lineRule="auto"/>
        <w:jc w:val="both"/>
        <w:rPr>
          <w:rFonts w:ascii="Arial" w:eastAsia="Arial" w:hAnsi="Arial" w:cs="Arial"/>
          <w:kern w:val="0"/>
          <w:sz w:val="22"/>
          <w:szCs w:val="22"/>
          <w:lang w:eastAsia="es-MX"/>
          <w14:ligatures w14:val="none"/>
        </w:rPr>
      </w:pPr>
      <w:r w:rsidRPr="00590E99">
        <w:rPr>
          <w:rFonts w:ascii="Arial" w:eastAsia="Arial" w:hAnsi="Arial" w:cs="Arial"/>
          <w:kern w:val="0"/>
          <w:sz w:val="22"/>
          <w:szCs w:val="22"/>
          <w:lang w:eastAsia="es-MX"/>
          <w14:ligatures w14:val="none"/>
        </w:rPr>
        <w:t>Mi representada es una sociedad mexicana, constituida mediante escritura pública número [</w:t>
      </w:r>
      <w:r w:rsidRPr="00590E99">
        <w:rPr>
          <w:rFonts w:ascii="Arial" w:eastAsia="Arial" w:hAnsi="Arial" w:cs="Arial"/>
          <w:kern w:val="0"/>
          <w:sz w:val="22"/>
          <w:szCs w:val="22"/>
          <w:highlight w:val="yellow"/>
          <w:lang w:eastAsia="es-MX"/>
          <w14:ligatures w14:val="none"/>
        </w:rPr>
        <w:t>*</w:t>
      </w:r>
      <w:r w:rsidRPr="00590E99">
        <w:rPr>
          <w:rFonts w:ascii="Arial" w:eastAsia="Arial" w:hAnsi="Arial" w:cs="Arial"/>
          <w:kern w:val="0"/>
          <w:sz w:val="22"/>
          <w:szCs w:val="22"/>
          <w:lang w:eastAsia="es-MX"/>
          <w14:ligatures w14:val="none"/>
        </w:rPr>
        <w:t>], de fecha [</w:t>
      </w:r>
      <w:r w:rsidRPr="00590E99">
        <w:rPr>
          <w:rFonts w:ascii="Arial" w:eastAsia="Arial" w:hAnsi="Arial" w:cs="Arial"/>
          <w:kern w:val="0"/>
          <w:sz w:val="22"/>
          <w:szCs w:val="22"/>
          <w:highlight w:val="yellow"/>
          <w:lang w:eastAsia="es-MX"/>
          <w14:ligatures w14:val="none"/>
        </w:rPr>
        <w:t>*</w:t>
      </w:r>
      <w:r w:rsidRPr="00590E99">
        <w:rPr>
          <w:rFonts w:ascii="Arial" w:eastAsia="Arial" w:hAnsi="Arial" w:cs="Arial"/>
          <w:kern w:val="0"/>
          <w:sz w:val="22"/>
          <w:szCs w:val="22"/>
          <w:lang w:eastAsia="es-MX"/>
          <w14:ligatures w14:val="none"/>
        </w:rPr>
        <w:t>] de [</w:t>
      </w:r>
      <w:r w:rsidRPr="00590E99">
        <w:rPr>
          <w:rFonts w:ascii="Arial" w:eastAsia="Arial" w:hAnsi="Arial" w:cs="Arial"/>
          <w:kern w:val="0"/>
          <w:sz w:val="22"/>
          <w:szCs w:val="22"/>
          <w:highlight w:val="yellow"/>
          <w:lang w:eastAsia="es-MX"/>
          <w14:ligatures w14:val="none"/>
        </w:rPr>
        <w:t>*</w:t>
      </w:r>
      <w:r w:rsidRPr="00590E99">
        <w:rPr>
          <w:rFonts w:ascii="Arial" w:eastAsia="Arial" w:hAnsi="Arial" w:cs="Arial"/>
          <w:kern w:val="0"/>
          <w:sz w:val="22"/>
          <w:szCs w:val="22"/>
          <w:lang w:eastAsia="es-MX"/>
          <w14:ligatures w14:val="none"/>
        </w:rPr>
        <w:t>] de [</w:t>
      </w:r>
      <w:r w:rsidRPr="00590E99">
        <w:rPr>
          <w:rFonts w:ascii="Arial" w:eastAsia="Arial" w:hAnsi="Arial" w:cs="Arial"/>
          <w:kern w:val="0"/>
          <w:sz w:val="22"/>
          <w:szCs w:val="22"/>
          <w:highlight w:val="yellow"/>
          <w:lang w:eastAsia="es-MX"/>
          <w14:ligatures w14:val="none"/>
        </w:rPr>
        <w:t>*</w:t>
      </w:r>
      <w:r w:rsidRPr="00590E99">
        <w:rPr>
          <w:rFonts w:ascii="Arial" w:eastAsia="Arial" w:hAnsi="Arial" w:cs="Arial"/>
          <w:kern w:val="0"/>
          <w:sz w:val="22"/>
          <w:szCs w:val="22"/>
          <w:lang w:eastAsia="es-MX"/>
          <w14:ligatures w14:val="none"/>
        </w:rPr>
        <w:t>], otorgada ante la fe del licenciado [</w:t>
      </w:r>
      <w:r w:rsidRPr="00590E99">
        <w:rPr>
          <w:rFonts w:ascii="Arial" w:eastAsia="Arial" w:hAnsi="Arial" w:cs="Arial"/>
          <w:kern w:val="0"/>
          <w:sz w:val="22"/>
          <w:szCs w:val="22"/>
          <w:highlight w:val="yellow"/>
          <w:lang w:eastAsia="es-MX"/>
          <w14:ligatures w14:val="none"/>
        </w:rPr>
        <w:t>*</w:t>
      </w:r>
      <w:r w:rsidRPr="00590E99">
        <w:rPr>
          <w:rFonts w:ascii="Arial" w:eastAsia="Arial" w:hAnsi="Arial" w:cs="Arial"/>
          <w:kern w:val="0"/>
          <w:sz w:val="22"/>
          <w:szCs w:val="22"/>
          <w:lang w:eastAsia="es-MX"/>
          <w14:ligatures w14:val="none"/>
        </w:rPr>
        <w:t>], notario público número [</w:t>
      </w:r>
      <w:r w:rsidRPr="00590E99">
        <w:rPr>
          <w:rFonts w:ascii="Arial" w:eastAsia="Arial" w:hAnsi="Arial" w:cs="Arial"/>
          <w:kern w:val="0"/>
          <w:sz w:val="22"/>
          <w:szCs w:val="22"/>
          <w:highlight w:val="yellow"/>
          <w:lang w:eastAsia="es-MX"/>
          <w14:ligatures w14:val="none"/>
        </w:rPr>
        <w:t>*</w:t>
      </w:r>
      <w:r w:rsidRPr="00590E99">
        <w:rPr>
          <w:rFonts w:ascii="Arial" w:eastAsia="Arial" w:hAnsi="Arial" w:cs="Arial"/>
          <w:kern w:val="0"/>
          <w:sz w:val="22"/>
          <w:szCs w:val="22"/>
          <w:lang w:eastAsia="es-MX"/>
          <w14:ligatures w14:val="none"/>
        </w:rPr>
        <w:t>], de [</w:t>
      </w:r>
      <w:r w:rsidRPr="00590E99">
        <w:rPr>
          <w:rFonts w:ascii="Arial" w:eastAsia="Arial" w:hAnsi="Arial" w:cs="Arial"/>
          <w:kern w:val="0"/>
          <w:sz w:val="22"/>
          <w:szCs w:val="22"/>
          <w:highlight w:val="yellow"/>
          <w:lang w:eastAsia="es-MX"/>
          <w14:ligatures w14:val="none"/>
        </w:rPr>
        <w:t>*</w:t>
      </w:r>
      <w:r w:rsidRPr="00590E99">
        <w:rPr>
          <w:rFonts w:ascii="Arial" w:eastAsia="Arial" w:hAnsi="Arial" w:cs="Arial"/>
          <w:kern w:val="0"/>
          <w:sz w:val="22"/>
          <w:szCs w:val="22"/>
          <w:lang w:eastAsia="es-MX"/>
          <w14:ligatures w14:val="none"/>
        </w:rPr>
        <w:t>], inscrita en el Registro Público de la Propiedad y del Comercio de [</w:t>
      </w:r>
      <w:r w:rsidRPr="00590E99">
        <w:rPr>
          <w:rFonts w:ascii="Arial" w:eastAsia="Arial" w:hAnsi="Arial" w:cs="Arial"/>
          <w:kern w:val="0"/>
          <w:sz w:val="22"/>
          <w:szCs w:val="22"/>
          <w:highlight w:val="yellow"/>
          <w:lang w:eastAsia="es-MX"/>
          <w14:ligatures w14:val="none"/>
        </w:rPr>
        <w:t>*</w:t>
      </w:r>
      <w:r w:rsidRPr="00590E99">
        <w:rPr>
          <w:rFonts w:ascii="Arial" w:eastAsia="Arial" w:hAnsi="Arial" w:cs="Arial"/>
          <w:kern w:val="0"/>
          <w:sz w:val="22"/>
          <w:szCs w:val="22"/>
          <w:lang w:eastAsia="es-MX"/>
          <w14:ligatures w14:val="none"/>
        </w:rPr>
        <w:t>], bajo el folio [</w:t>
      </w:r>
      <w:r w:rsidRPr="00590E99">
        <w:rPr>
          <w:rFonts w:ascii="Arial" w:eastAsia="Arial" w:hAnsi="Arial" w:cs="Arial"/>
          <w:kern w:val="0"/>
          <w:sz w:val="22"/>
          <w:szCs w:val="22"/>
          <w:highlight w:val="yellow"/>
          <w:lang w:eastAsia="es-MX"/>
          <w14:ligatures w14:val="none"/>
        </w:rPr>
        <w:t>*</w:t>
      </w:r>
      <w:r w:rsidRPr="00590E99">
        <w:rPr>
          <w:rFonts w:ascii="Arial" w:eastAsia="Arial" w:hAnsi="Arial" w:cs="Arial"/>
          <w:kern w:val="0"/>
          <w:sz w:val="22"/>
          <w:szCs w:val="22"/>
          <w:lang w:eastAsia="es-MX"/>
          <w14:ligatures w14:val="none"/>
        </w:rPr>
        <w:t>], el [</w:t>
      </w:r>
      <w:r w:rsidRPr="00590E99">
        <w:rPr>
          <w:rFonts w:ascii="Arial" w:eastAsia="Arial" w:hAnsi="Arial" w:cs="Arial"/>
          <w:kern w:val="0"/>
          <w:sz w:val="22"/>
          <w:szCs w:val="22"/>
          <w:highlight w:val="yellow"/>
          <w:lang w:eastAsia="es-MX"/>
          <w14:ligatures w14:val="none"/>
        </w:rPr>
        <w:t>*</w:t>
      </w:r>
      <w:r w:rsidRPr="00590E99">
        <w:rPr>
          <w:rFonts w:ascii="Arial" w:eastAsia="Arial" w:hAnsi="Arial" w:cs="Arial"/>
          <w:kern w:val="0"/>
          <w:sz w:val="22"/>
          <w:szCs w:val="22"/>
          <w:lang w:eastAsia="es-MX"/>
          <w14:ligatures w14:val="none"/>
        </w:rPr>
        <w:t>] de [</w:t>
      </w:r>
      <w:r w:rsidRPr="00590E99">
        <w:rPr>
          <w:rFonts w:ascii="Arial" w:eastAsia="Arial" w:hAnsi="Arial" w:cs="Arial"/>
          <w:kern w:val="0"/>
          <w:sz w:val="22"/>
          <w:szCs w:val="22"/>
          <w:highlight w:val="yellow"/>
          <w:lang w:eastAsia="es-MX"/>
          <w14:ligatures w14:val="none"/>
        </w:rPr>
        <w:t>*</w:t>
      </w:r>
      <w:r w:rsidRPr="00590E99">
        <w:rPr>
          <w:rFonts w:ascii="Arial" w:eastAsia="Arial" w:hAnsi="Arial" w:cs="Arial"/>
          <w:kern w:val="0"/>
          <w:sz w:val="22"/>
          <w:szCs w:val="22"/>
          <w:lang w:eastAsia="es-MX"/>
          <w14:ligatures w14:val="none"/>
        </w:rPr>
        <w:t>] de [</w:t>
      </w:r>
      <w:r w:rsidRPr="00590E99">
        <w:rPr>
          <w:rFonts w:ascii="Arial" w:eastAsia="Arial" w:hAnsi="Arial" w:cs="Arial"/>
          <w:kern w:val="0"/>
          <w:sz w:val="22"/>
          <w:szCs w:val="22"/>
          <w:highlight w:val="yellow"/>
          <w:lang w:eastAsia="es-MX"/>
          <w14:ligatures w14:val="none"/>
        </w:rPr>
        <w:t>*</w:t>
      </w:r>
      <w:r w:rsidRPr="00590E99">
        <w:rPr>
          <w:rFonts w:ascii="Arial" w:eastAsia="Arial" w:hAnsi="Arial" w:cs="Arial"/>
          <w:kern w:val="0"/>
          <w:sz w:val="22"/>
          <w:szCs w:val="22"/>
          <w:lang w:eastAsia="es-MX"/>
          <w14:ligatures w14:val="none"/>
        </w:rPr>
        <w:t>], está autorizada para operar como institución de crédito y, en términos de sus estatutos sociales vigentes, se encuentra dentro de su objeto el llevar a cabo los actos jurídicos que sean necesarios en los términos de la Licitación Pública.</w:t>
      </w:r>
    </w:p>
    <w:p w14:paraId="34AD1A08" w14:textId="77777777" w:rsidR="00590E99" w:rsidRPr="00590E99" w:rsidRDefault="00590E99" w:rsidP="00590E99">
      <w:pPr>
        <w:spacing w:after="0" w:line="276" w:lineRule="auto"/>
        <w:jc w:val="both"/>
        <w:rPr>
          <w:rFonts w:ascii="Arial" w:eastAsia="Arial" w:hAnsi="Arial" w:cs="Arial"/>
          <w:kern w:val="0"/>
          <w:sz w:val="22"/>
          <w:szCs w:val="22"/>
          <w:lang w:eastAsia="es-MX"/>
          <w14:ligatures w14:val="none"/>
        </w:rPr>
      </w:pPr>
    </w:p>
    <w:p w14:paraId="6FCC79CC" w14:textId="77777777" w:rsidR="00590E99" w:rsidRPr="00590E99" w:rsidRDefault="00000000" w:rsidP="00590E99">
      <w:pPr>
        <w:spacing w:after="0" w:line="276" w:lineRule="auto"/>
        <w:ind w:left="720"/>
        <w:jc w:val="both"/>
        <w:rPr>
          <w:rFonts w:ascii="Arial" w:eastAsia="Arial" w:hAnsi="Arial" w:cs="Arial"/>
          <w:kern w:val="0"/>
          <w:sz w:val="22"/>
          <w:szCs w:val="22"/>
          <w:lang w:eastAsia="es-MX"/>
          <w14:ligatures w14:val="none"/>
        </w:rPr>
      </w:pPr>
      <w:r w:rsidRPr="00590E99">
        <w:rPr>
          <w:rFonts w:ascii="Arial" w:eastAsia="Arial" w:hAnsi="Arial" w:cs="Arial"/>
          <w:kern w:val="0"/>
          <w:sz w:val="22"/>
          <w:szCs w:val="22"/>
          <w:lang w:eastAsia="es-MX"/>
          <w14:ligatures w14:val="none"/>
        </w:rPr>
        <w:lastRenderedPageBreak/>
        <w:t>Cuento con poderes y facultades suficientes para comprometerme en nombre de mi representada y que a la fecha de la presente, dichos poderes no han sido revocados, modificados o limitados en forma alguna.</w:t>
      </w:r>
    </w:p>
    <w:p w14:paraId="12697F99" w14:textId="77777777" w:rsidR="00590E99" w:rsidRPr="00590E99" w:rsidRDefault="00590E99" w:rsidP="00590E99">
      <w:pPr>
        <w:spacing w:after="0" w:line="276" w:lineRule="auto"/>
        <w:ind w:left="720"/>
        <w:jc w:val="both"/>
        <w:rPr>
          <w:rFonts w:ascii="Arial" w:eastAsia="Arial" w:hAnsi="Arial" w:cs="Arial"/>
          <w:kern w:val="0"/>
          <w:sz w:val="22"/>
          <w:szCs w:val="22"/>
          <w:lang w:eastAsia="es-MX"/>
          <w14:ligatures w14:val="none"/>
        </w:rPr>
      </w:pPr>
    </w:p>
    <w:p w14:paraId="7450C70D" w14:textId="77777777" w:rsidR="00590E99" w:rsidRPr="00590E99" w:rsidRDefault="00000000" w:rsidP="00590E99">
      <w:pPr>
        <w:spacing w:after="0" w:line="276" w:lineRule="auto"/>
        <w:ind w:left="720"/>
        <w:jc w:val="both"/>
        <w:rPr>
          <w:rFonts w:ascii="Arial" w:eastAsia="Arial" w:hAnsi="Arial" w:cs="Arial"/>
          <w:kern w:val="0"/>
          <w:sz w:val="22"/>
          <w:szCs w:val="22"/>
          <w:lang w:eastAsia="es-MX"/>
          <w14:ligatures w14:val="none"/>
        </w:rPr>
      </w:pPr>
      <w:r w:rsidRPr="00590E99">
        <w:rPr>
          <w:rFonts w:ascii="Arial" w:eastAsia="Arial" w:hAnsi="Arial" w:cs="Arial"/>
          <w:kern w:val="0"/>
          <w:sz w:val="22"/>
          <w:szCs w:val="22"/>
          <w:lang w:eastAsia="es-MX"/>
          <w14:ligatures w14:val="none"/>
        </w:rPr>
        <w:t xml:space="preserve">Se adjunta </w:t>
      </w:r>
      <w:r w:rsidRPr="00590E99">
        <w:rPr>
          <w:rFonts w:ascii="Arial" w:eastAsia="Arial" w:hAnsi="Arial" w:cs="Arial"/>
          <w:i/>
          <w:kern w:val="0"/>
          <w:sz w:val="22"/>
          <w:szCs w:val="22"/>
          <w:lang w:eastAsia="es-MX"/>
          <w14:ligatures w14:val="none"/>
        </w:rPr>
        <w:t>(i)</w:t>
      </w:r>
      <w:r w:rsidRPr="00590E99">
        <w:rPr>
          <w:rFonts w:ascii="Arial" w:eastAsia="Arial" w:hAnsi="Arial" w:cs="Arial"/>
          <w:kern w:val="0"/>
          <w:sz w:val="22"/>
          <w:szCs w:val="22"/>
          <w:lang w:eastAsia="es-MX"/>
          <w14:ligatures w14:val="none"/>
        </w:rPr>
        <w:t xml:space="preserve"> original de la Oferta, con firma autógrafa de un representante legal de la Institución Financiera correspondiente que cuente con autoridad suficiente; (</w:t>
      </w:r>
      <w:r w:rsidRPr="00590E99">
        <w:rPr>
          <w:rFonts w:ascii="Arial" w:eastAsia="Arial" w:hAnsi="Arial" w:cs="Arial"/>
          <w:i/>
          <w:kern w:val="0"/>
          <w:sz w:val="22"/>
          <w:szCs w:val="22"/>
          <w:lang w:eastAsia="es-MX"/>
          <w14:ligatures w14:val="none"/>
        </w:rPr>
        <w:t>ii</w:t>
      </w:r>
      <w:r w:rsidRPr="00590E99">
        <w:rPr>
          <w:rFonts w:ascii="Arial" w:eastAsia="Arial" w:hAnsi="Arial" w:cs="Arial"/>
          <w:kern w:val="0"/>
          <w:sz w:val="22"/>
          <w:szCs w:val="22"/>
          <w:lang w:eastAsia="es-MX"/>
          <w14:ligatures w14:val="none"/>
        </w:rPr>
        <w:t>) una copia simple de los estatutos sociales vigentes de la Institución Financiera; (</w:t>
      </w:r>
      <w:r w:rsidRPr="00590E99">
        <w:rPr>
          <w:rFonts w:ascii="Arial" w:eastAsia="Arial" w:hAnsi="Arial" w:cs="Arial"/>
          <w:i/>
          <w:kern w:val="0"/>
          <w:sz w:val="22"/>
          <w:szCs w:val="22"/>
          <w:lang w:eastAsia="es-MX"/>
          <w14:ligatures w14:val="none"/>
        </w:rPr>
        <w:t>iii</w:t>
      </w:r>
      <w:r w:rsidRPr="00590E99">
        <w:rPr>
          <w:rFonts w:ascii="Arial" w:eastAsia="Arial" w:hAnsi="Arial" w:cs="Arial"/>
          <w:kern w:val="0"/>
          <w:sz w:val="22"/>
          <w:szCs w:val="22"/>
          <w:lang w:eastAsia="es-MX"/>
          <w14:ligatures w14:val="none"/>
        </w:rPr>
        <w:t>) poder original o en copia certificada del representante legal que suscribe la Oferta; (</w:t>
      </w:r>
      <w:r w:rsidRPr="00590E99">
        <w:rPr>
          <w:rFonts w:ascii="Arial" w:eastAsia="Arial" w:hAnsi="Arial" w:cs="Arial"/>
          <w:i/>
          <w:kern w:val="0"/>
          <w:sz w:val="22"/>
          <w:szCs w:val="22"/>
          <w:lang w:eastAsia="es-MX"/>
          <w14:ligatures w14:val="none"/>
        </w:rPr>
        <w:t>iv</w:t>
      </w:r>
      <w:r w:rsidRPr="00590E99">
        <w:rPr>
          <w:rFonts w:ascii="Arial" w:eastAsia="Arial" w:hAnsi="Arial" w:cs="Arial"/>
          <w:kern w:val="0"/>
          <w:sz w:val="22"/>
          <w:szCs w:val="22"/>
          <w:lang w:eastAsia="es-MX"/>
          <w14:ligatures w14:val="none"/>
        </w:rPr>
        <w:t>) una copia simple de la identificación oficial vigente del representante legal que suscribe la Oferta en la que aparezca su firma; (</w:t>
      </w:r>
      <w:r w:rsidRPr="00590E99">
        <w:rPr>
          <w:rFonts w:ascii="Arial" w:eastAsia="Arial" w:hAnsi="Arial" w:cs="Arial"/>
          <w:i/>
          <w:kern w:val="0"/>
          <w:sz w:val="22"/>
          <w:szCs w:val="22"/>
          <w:lang w:eastAsia="es-MX"/>
          <w14:ligatures w14:val="none"/>
        </w:rPr>
        <w:t>v</w:t>
      </w:r>
      <w:r w:rsidRPr="00590E99">
        <w:rPr>
          <w:rFonts w:ascii="Arial" w:eastAsia="Arial" w:hAnsi="Arial" w:cs="Arial"/>
          <w:kern w:val="0"/>
          <w:sz w:val="22"/>
          <w:szCs w:val="22"/>
          <w:lang w:eastAsia="es-MX"/>
          <w14:ligatures w14:val="none"/>
        </w:rPr>
        <w:t xml:space="preserve">) documento firmado de acreditación de representación legal de la Institución Financiera en favor de su representante legal, cuyo modelo se adjunta a las Bases como </w:t>
      </w:r>
      <w:r w:rsidRPr="00590E99">
        <w:rPr>
          <w:rFonts w:ascii="Arial" w:eastAsia="Arial" w:hAnsi="Arial" w:cs="Arial"/>
          <w:b/>
          <w:kern w:val="0"/>
          <w:sz w:val="22"/>
          <w:szCs w:val="22"/>
          <w:lang w:eastAsia="es-MX"/>
          <w14:ligatures w14:val="none"/>
        </w:rPr>
        <w:t>Anexo “F”</w:t>
      </w:r>
      <w:r w:rsidRPr="00590E99">
        <w:rPr>
          <w:rFonts w:ascii="Arial" w:eastAsia="Arial" w:hAnsi="Arial" w:cs="Arial"/>
          <w:kern w:val="0"/>
          <w:sz w:val="22"/>
          <w:szCs w:val="22"/>
          <w:lang w:eastAsia="es-MX"/>
          <w14:ligatures w14:val="none"/>
        </w:rPr>
        <w:t>; (</w:t>
      </w:r>
      <w:r w:rsidRPr="00590E99">
        <w:rPr>
          <w:rFonts w:ascii="Arial" w:eastAsia="Arial" w:hAnsi="Arial" w:cs="Arial"/>
          <w:i/>
          <w:kern w:val="0"/>
          <w:sz w:val="22"/>
          <w:szCs w:val="22"/>
          <w:lang w:eastAsia="es-MX"/>
          <w14:ligatures w14:val="none"/>
        </w:rPr>
        <w:t>vi</w:t>
      </w:r>
      <w:r w:rsidRPr="00590E99">
        <w:rPr>
          <w:rFonts w:ascii="Arial" w:eastAsia="Arial" w:hAnsi="Arial" w:cs="Arial"/>
          <w:kern w:val="0"/>
          <w:sz w:val="22"/>
          <w:szCs w:val="22"/>
          <w:lang w:eastAsia="es-MX"/>
          <w14:ligatures w14:val="none"/>
        </w:rPr>
        <w:t>) manifestación expresa de aceptación de los términos de la Convocatoria a participar en la Licitación Pública, las Bases, y los Modelos de Contratos de Crédito; y (</w:t>
      </w:r>
      <w:r w:rsidRPr="00590E99">
        <w:rPr>
          <w:rFonts w:ascii="Arial" w:eastAsia="Arial" w:hAnsi="Arial" w:cs="Arial"/>
          <w:i/>
          <w:kern w:val="0"/>
          <w:sz w:val="22"/>
          <w:szCs w:val="22"/>
          <w:lang w:eastAsia="es-MX"/>
          <w14:ligatures w14:val="none"/>
        </w:rPr>
        <w:t>vii</w:t>
      </w:r>
      <w:r w:rsidRPr="00590E99">
        <w:rPr>
          <w:rFonts w:ascii="Arial" w:eastAsia="Arial" w:hAnsi="Arial" w:cs="Arial"/>
          <w:kern w:val="0"/>
          <w:sz w:val="22"/>
          <w:szCs w:val="22"/>
          <w:lang w:eastAsia="es-MX"/>
          <w14:ligatures w14:val="none"/>
        </w:rPr>
        <w:t>) una memoria USB con los documentos enumerados en los puntos (</w:t>
      </w:r>
      <w:r w:rsidRPr="00590E99">
        <w:rPr>
          <w:rFonts w:ascii="Arial" w:eastAsia="Arial" w:hAnsi="Arial" w:cs="Arial"/>
          <w:i/>
          <w:kern w:val="0"/>
          <w:sz w:val="22"/>
          <w:szCs w:val="22"/>
          <w:lang w:eastAsia="es-MX"/>
          <w14:ligatures w14:val="none"/>
        </w:rPr>
        <w:t>i</w:t>
      </w:r>
      <w:r w:rsidRPr="00590E99">
        <w:rPr>
          <w:rFonts w:ascii="Arial" w:eastAsia="Arial" w:hAnsi="Arial" w:cs="Arial"/>
          <w:kern w:val="0"/>
          <w:sz w:val="22"/>
          <w:szCs w:val="22"/>
          <w:lang w:eastAsia="es-MX"/>
          <w14:ligatures w14:val="none"/>
        </w:rPr>
        <w:t>) al (</w:t>
      </w:r>
      <w:r w:rsidRPr="00590E99">
        <w:rPr>
          <w:rFonts w:ascii="Arial" w:eastAsia="Arial" w:hAnsi="Arial" w:cs="Arial"/>
          <w:i/>
          <w:kern w:val="0"/>
          <w:sz w:val="22"/>
          <w:szCs w:val="22"/>
          <w:lang w:eastAsia="es-MX"/>
          <w14:ligatures w14:val="none"/>
        </w:rPr>
        <w:t>vi</w:t>
      </w:r>
      <w:r w:rsidRPr="00590E99">
        <w:rPr>
          <w:rFonts w:ascii="Arial" w:eastAsia="Arial" w:hAnsi="Arial" w:cs="Arial"/>
          <w:kern w:val="0"/>
          <w:sz w:val="22"/>
          <w:szCs w:val="22"/>
          <w:lang w:eastAsia="es-MX"/>
          <w14:ligatures w14:val="none"/>
        </w:rPr>
        <w:t>), en PDF.</w:t>
      </w:r>
    </w:p>
    <w:p w14:paraId="59F13FF2" w14:textId="77777777" w:rsidR="00590E99" w:rsidRPr="00590E99" w:rsidRDefault="00590E99" w:rsidP="00590E99">
      <w:pPr>
        <w:spacing w:after="0" w:line="276" w:lineRule="auto"/>
        <w:ind w:left="360"/>
        <w:jc w:val="both"/>
        <w:rPr>
          <w:rFonts w:ascii="Arial" w:eastAsia="Arial" w:hAnsi="Arial" w:cs="Arial"/>
          <w:kern w:val="0"/>
          <w:sz w:val="22"/>
          <w:szCs w:val="22"/>
          <w:lang w:eastAsia="es-MX"/>
          <w14:ligatures w14:val="none"/>
        </w:rPr>
      </w:pPr>
    </w:p>
    <w:p w14:paraId="172F1B6E" w14:textId="77777777" w:rsidR="00590E99" w:rsidRPr="00590E99" w:rsidRDefault="00000000" w:rsidP="00590E99">
      <w:pPr>
        <w:spacing w:after="0" w:line="276" w:lineRule="auto"/>
        <w:ind w:left="360"/>
        <w:jc w:val="both"/>
        <w:rPr>
          <w:rFonts w:ascii="Arial" w:eastAsia="Arial" w:hAnsi="Arial" w:cs="Arial"/>
          <w:i/>
          <w:kern w:val="0"/>
          <w:sz w:val="22"/>
          <w:szCs w:val="22"/>
          <w:lang w:eastAsia="es-MX"/>
          <w14:ligatures w14:val="none"/>
        </w:rPr>
      </w:pPr>
      <w:r w:rsidRPr="00590E99">
        <w:rPr>
          <w:rFonts w:ascii="Arial" w:eastAsia="Arial" w:hAnsi="Arial" w:cs="Arial"/>
          <w:i/>
          <w:kern w:val="0"/>
          <w:sz w:val="22"/>
          <w:szCs w:val="22"/>
          <w:lang w:eastAsia="es-MX"/>
          <w14:ligatures w14:val="none"/>
        </w:rPr>
        <w:t>[En el caso de sociedades nacionales de crédito, adaptar la declaración con los datos de la ley de creación y la normativa aplicable a dichas sociedades].</w:t>
      </w:r>
    </w:p>
    <w:p w14:paraId="053C0FC0" w14:textId="77777777" w:rsidR="00590E99" w:rsidRPr="00590E99" w:rsidRDefault="00590E99" w:rsidP="00590E99">
      <w:pPr>
        <w:spacing w:after="0" w:line="276" w:lineRule="auto"/>
        <w:ind w:left="360"/>
        <w:jc w:val="both"/>
        <w:rPr>
          <w:rFonts w:ascii="Arial" w:eastAsia="Arial" w:hAnsi="Arial" w:cs="Arial"/>
          <w:i/>
          <w:kern w:val="0"/>
          <w:sz w:val="22"/>
          <w:szCs w:val="22"/>
          <w:lang w:eastAsia="es-MX"/>
          <w14:ligatures w14:val="none"/>
        </w:rPr>
      </w:pPr>
    </w:p>
    <w:p w14:paraId="6C34E27C" w14:textId="77777777" w:rsidR="00590E99" w:rsidRPr="00590E99" w:rsidRDefault="00000000" w:rsidP="00590E99">
      <w:pPr>
        <w:numPr>
          <w:ilvl w:val="0"/>
          <w:numId w:val="2"/>
        </w:numPr>
        <w:spacing w:after="0" w:line="276" w:lineRule="auto"/>
        <w:jc w:val="both"/>
        <w:rPr>
          <w:rFonts w:ascii="Arial" w:eastAsia="Arial" w:hAnsi="Arial" w:cs="Arial"/>
          <w:kern w:val="0"/>
          <w:sz w:val="22"/>
          <w:szCs w:val="22"/>
          <w:lang w:eastAsia="es-MX"/>
          <w14:ligatures w14:val="none"/>
        </w:rPr>
      </w:pPr>
      <w:r w:rsidRPr="00590E99">
        <w:rPr>
          <w:rFonts w:ascii="Arial" w:eastAsia="Arial" w:hAnsi="Arial" w:cs="Arial"/>
          <w:kern w:val="0"/>
          <w:sz w:val="22"/>
          <w:szCs w:val="22"/>
          <w:lang w:eastAsia="es-MX"/>
          <w14:ligatures w14:val="none"/>
        </w:rPr>
        <w:t>Mi representada realiza la presente Oferta de forma irrevocable y en firme, es decir, que cuenta con todos los requerimientos aprobatorios de los órganos internos de la Institución Financiera, entendiéndose que los términos de la Oferta no estarán sujetos a condiciones adicionales.</w:t>
      </w:r>
    </w:p>
    <w:p w14:paraId="43E18F8E" w14:textId="77777777" w:rsidR="00590E99" w:rsidRPr="00590E99" w:rsidRDefault="00590E99" w:rsidP="00590E99">
      <w:pPr>
        <w:spacing w:after="0" w:line="276" w:lineRule="auto"/>
        <w:jc w:val="both"/>
        <w:rPr>
          <w:rFonts w:ascii="Arial" w:eastAsia="Arial" w:hAnsi="Arial" w:cs="Arial"/>
          <w:kern w:val="0"/>
          <w:sz w:val="22"/>
          <w:szCs w:val="22"/>
          <w:lang w:eastAsia="es-MX"/>
          <w14:ligatures w14:val="none"/>
        </w:rPr>
      </w:pPr>
    </w:p>
    <w:p w14:paraId="3F4D12A1" w14:textId="77777777" w:rsidR="00590E99" w:rsidRPr="00590E99" w:rsidRDefault="00000000" w:rsidP="00590E99">
      <w:pPr>
        <w:numPr>
          <w:ilvl w:val="0"/>
          <w:numId w:val="2"/>
        </w:numPr>
        <w:spacing w:after="0" w:line="276" w:lineRule="auto"/>
        <w:jc w:val="both"/>
        <w:rPr>
          <w:rFonts w:ascii="Arial" w:eastAsia="Arial" w:hAnsi="Arial" w:cs="Arial"/>
          <w:kern w:val="0"/>
          <w:sz w:val="22"/>
          <w:szCs w:val="22"/>
          <w:lang w:eastAsia="es-MX"/>
          <w14:ligatures w14:val="none"/>
        </w:rPr>
      </w:pPr>
      <w:r w:rsidRPr="00590E99">
        <w:rPr>
          <w:rFonts w:ascii="Arial" w:eastAsia="Arial" w:hAnsi="Arial" w:cs="Arial"/>
          <w:kern w:val="0"/>
          <w:sz w:val="22"/>
          <w:szCs w:val="22"/>
          <w:lang w:eastAsia="es-MX"/>
          <w14:ligatures w14:val="none"/>
        </w:rPr>
        <w:t>La presente Oferta tendrá una vigencia mínima de 60 días naturales contados a partir de su presentación ante SADM en el Acto de Presentación y Evento de Apertura de Ofertas, conforme a lo establecido en las Bases de la Licitación Pública. No obstante lo anterior, y en caso de que el Contrato de Crédito sea adjudicado a mi representada, la Oferta permanecerá en vigor hasta la fecha de firma del Contrato de Crédito.</w:t>
      </w:r>
    </w:p>
    <w:p w14:paraId="0AD06E60" w14:textId="77777777" w:rsidR="00590E99" w:rsidRPr="00590E99" w:rsidRDefault="00590E99" w:rsidP="00590E99">
      <w:pPr>
        <w:spacing w:after="0" w:line="276" w:lineRule="auto"/>
        <w:ind w:left="720"/>
        <w:jc w:val="both"/>
        <w:rPr>
          <w:rFonts w:ascii="Arial" w:eastAsia="Arial" w:hAnsi="Arial" w:cs="Arial"/>
          <w:kern w:val="0"/>
          <w:sz w:val="22"/>
          <w:szCs w:val="22"/>
          <w:lang w:eastAsia="es-MX"/>
          <w14:ligatures w14:val="none"/>
        </w:rPr>
      </w:pPr>
    </w:p>
    <w:p w14:paraId="79272214" w14:textId="77777777" w:rsidR="00590E99" w:rsidRPr="00590E99" w:rsidRDefault="00000000" w:rsidP="00590E99">
      <w:pPr>
        <w:numPr>
          <w:ilvl w:val="0"/>
          <w:numId w:val="2"/>
        </w:numPr>
        <w:spacing w:after="0" w:line="276" w:lineRule="auto"/>
        <w:jc w:val="both"/>
        <w:rPr>
          <w:rFonts w:ascii="Arial" w:eastAsia="Arial" w:hAnsi="Arial" w:cs="Arial"/>
          <w:kern w:val="0"/>
          <w:sz w:val="22"/>
          <w:szCs w:val="22"/>
          <w:lang w:eastAsia="es-MX"/>
          <w14:ligatures w14:val="none"/>
        </w:rPr>
      </w:pPr>
      <w:r w:rsidRPr="00590E99">
        <w:rPr>
          <w:rFonts w:ascii="Arial" w:eastAsia="Arial" w:hAnsi="Arial" w:cs="Arial"/>
          <w:kern w:val="0"/>
          <w:sz w:val="22"/>
          <w:szCs w:val="22"/>
          <w:lang w:eastAsia="es-MX"/>
          <w14:ligatures w14:val="none"/>
        </w:rPr>
        <w:t>Mi representada no ha compartido con otras Instituciones Financieras el alcance y términos de la presente Oferta, ni en forma alguna ha acordado con otras Instituciones Financieras competidoras respecto de su participación en la Licitación Pública.</w:t>
      </w:r>
    </w:p>
    <w:p w14:paraId="6D5344DC" w14:textId="77777777" w:rsidR="00590E99" w:rsidRPr="00590E99" w:rsidRDefault="00590E99" w:rsidP="00590E99">
      <w:pPr>
        <w:spacing w:after="0" w:line="276" w:lineRule="auto"/>
        <w:jc w:val="both"/>
        <w:rPr>
          <w:rFonts w:ascii="Arial" w:eastAsia="Arial" w:hAnsi="Arial" w:cs="Arial"/>
          <w:kern w:val="0"/>
          <w:sz w:val="22"/>
          <w:szCs w:val="22"/>
          <w:lang w:eastAsia="es-MX"/>
          <w14:ligatures w14:val="none"/>
        </w:rPr>
      </w:pPr>
    </w:p>
    <w:p w14:paraId="2E85A5D5" w14:textId="77777777" w:rsidR="00590E99" w:rsidRPr="00590E99" w:rsidRDefault="00000000" w:rsidP="00590E99">
      <w:pPr>
        <w:numPr>
          <w:ilvl w:val="0"/>
          <w:numId w:val="2"/>
        </w:numPr>
        <w:spacing w:after="0" w:line="276" w:lineRule="auto"/>
        <w:jc w:val="both"/>
        <w:rPr>
          <w:rFonts w:ascii="Arial" w:eastAsia="Arial" w:hAnsi="Arial" w:cs="Arial"/>
          <w:kern w:val="0"/>
          <w:sz w:val="22"/>
          <w:szCs w:val="22"/>
          <w:lang w:eastAsia="es-MX"/>
          <w14:ligatures w14:val="none"/>
        </w:rPr>
      </w:pPr>
      <w:r w:rsidRPr="00590E99">
        <w:rPr>
          <w:rFonts w:ascii="Arial" w:eastAsia="Arial" w:hAnsi="Arial" w:cs="Arial"/>
          <w:kern w:val="0"/>
          <w:sz w:val="22"/>
          <w:szCs w:val="22"/>
          <w:lang w:eastAsia="es-MX"/>
          <w14:ligatures w14:val="none"/>
        </w:rPr>
        <w:lastRenderedPageBreak/>
        <w:t>La presente Oferta cumple y cumplirá con las especificaciones establecidas en las Bases de la Licitación Pública, asimismo, se regirá e interpretará de conformidad con las Bases de la Licitación Pública y la legislación aplicable.</w:t>
      </w:r>
    </w:p>
    <w:p w14:paraId="5837A43C" w14:textId="77777777" w:rsidR="00590E99" w:rsidRPr="00590E99" w:rsidRDefault="00590E99" w:rsidP="00590E99">
      <w:pPr>
        <w:spacing w:after="0" w:line="276" w:lineRule="auto"/>
        <w:jc w:val="both"/>
        <w:rPr>
          <w:rFonts w:ascii="Arial" w:eastAsia="Arial" w:hAnsi="Arial" w:cs="Arial"/>
          <w:kern w:val="0"/>
          <w:sz w:val="22"/>
          <w:szCs w:val="22"/>
          <w:lang w:eastAsia="es-MX"/>
          <w14:ligatures w14:val="none"/>
        </w:rPr>
      </w:pPr>
    </w:p>
    <w:p w14:paraId="69A4730D" w14:textId="77777777" w:rsidR="00590E99" w:rsidRPr="00590E99" w:rsidRDefault="00000000" w:rsidP="00590E99">
      <w:pPr>
        <w:numPr>
          <w:ilvl w:val="0"/>
          <w:numId w:val="2"/>
        </w:numPr>
        <w:spacing w:after="0" w:line="276" w:lineRule="auto"/>
        <w:jc w:val="both"/>
        <w:rPr>
          <w:rFonts w:ascii="Arial" w:eastAsia="Arial" w:hAnsi="Arial" w:cs="Arial"/>
          <w:kern w:val="0"/>
          <w:sz w:val="22"/>
          <w:szCs w:val="22"/>
          <w:lang w:eastAsia="es-MX"/>
          <w14:ligatures w14:val="none"/>
        </w:rPr>
      </w:pPr>
      <w:r w:rsidRPr="00590E99">
        <w:rPr>
          <w:rFonts w:ascii="Arial" w:eastAsia="Arial" w:hAnsi="Arial" w:cs="Arial"/>
          <w:kern w:val="0"/>
          <w:sz w:val="22"/>
          <w:szCs w:val="22"/>
          <w:lang w:eastAsia="es-MX"/>
          <w14:ligatures w14:val="none"/>
        </w:rPr>
        <w:t>Mi representada no se encuentra involucrada ni tiene conocimiento de que sea inminente algún litigio, acción, demanda o cualquier otro tipo de medio alternativo de solución de controversias, que de algún modo pudiera afectar de manera negativa la presente Oferta.</w:t>
      </w:r>
    </w:p>
    <w:p w14:paraId="64DEB115" w14:textId="77777777" w:rsidR="00590E99" w:rsidRPr="00590E99" w:rsidRDefault="00590E99" w:rsidP="00590E99">
      <w:pPr>
        <w:spacing w:after="0" w:line="276" w:lineRule="auto"/>
        <w:jc w:val="both"/>
        <w:rPr>
          <w:rFonts w:ascii="Arial" w:eastAsia="Arial" w:hAnsi="Arial" w:cs="Arial"/>
          <w:kern w:val="0"/>
          <w:sz w:val="22"/>
          <w:szCs w:val="22"/>
          <w:lang w:eastAsia="es-MX"/>
          <w14:ligatures w14:val="none"/>
        </w:rPr>
      </w:pPr>
    </w:p>
    <w:p w14:paraId="4E3C5A08" w14:textId="77777777" w:rsidR="00590E99" w:rsidRPr="00590E99" w:rsidRDefault="00000000" w:rsidP="00590E99">
      <w:pPr>
        <w:numPr>
          <w:ilvl w:val="0"/>
          <w:numId w:val="2"/>
        </w:numPr>
        <w:spacing w:after="0" w:line="276" w:lineRule="auto"/>
        <w:jc w:val="both"/>
        <w:rPr>
          <w:rFonts w:ascii="Arial" w:eastAsia="Arial" w:hAnsi="Arial" w:cs="Arial"/>
          <w:kern w:val="0"/>
          <w:sz w:val="22"/>
          <w:szCs w:val="22"/>
          <w:lang w:eastAsia="es-MX"/>
          <w14:ligatures w14:val="none"/>
        </w:rPr>
      </w:pPr>
      <w:r w:rsidRPr="00590E99">
        <w:rPr>
          <w:rFonts w:ascii="Arial" w:eastAsia="Arial" w:hAnsi="Arial" w:cs="Arial"/>
          <w:kern w:val="0"/>
          <w:sz w:val="22"/>
          <w:szCs w:val="22"/>
          <w:lang w:eastAsia="es-MX"/>
          <w14:ligatures w14:val="none"/>
        </w:rPr>
        <w:t>Mi representada no se encuentra impedida para contratar con SADM, de conformidad con la legislación aplicable.</w:t>
      </w:r>
    </w:p>
    <w:p w14:paraId="7C56B1DB" w14:textId="77777777" w:rsidR="00590E99" w:rsidRPr="00590E99" w:rsidRDefault="00590E99" w:rsidP="00590E99">
      <w:pPr>
        <w:spacing w:after="0" w:line="276" w:lineRule="auto"/>
        <w:jc w:val="both"/>
        <w:rPr>
          <w:rFonts w:ascii="Arial" w:eastAsia="Arial" w:hAnsi="Arial" w:cs="Arial"/>
          <w:kern w:val="0"/>
          <w:sz w:val="22"/>
          <w:szCs w:val="22"/>
          <w:lang w:eastAsia="es-MX"/>
          <w14:ligatures w14:val="none"/>
        </w:rPr>
      </w:pPr>
    </w:p>
    <w:p w14:paraId="24F20D4E" w14:textId="77777777" w:rsidR="00590E99" w:rsidRPr="00590E99" w:rsidRDefault="00000000" w:rsidP="00590E99">
      <w:pPr>
        <w:numPr>
          <w:ilvl w:val="0"/>
          <w:numId w:val="2"/>
        </w:numPr>
        <w:spacing w:after="0" w:line="276" w:lineRule="auto"/>
        <w:jc w:val="both"/>
        <w:rPr>
          <w:rFonts w:ascii="Arial" w:eastAsia="Arial" w:hAnsi="Arial" w:cs="Arial"/>
          <w:kern w:val="0"/>
          <w:sz w:val="22"/>
          <w:szCs w:val="22"/>
          <w:lang w:eastAsia="es-MX"/>
          <w14:ligatures w14:val="none"/>
        </w:rPr>
      </w:pPr>
      <w:r w:rsidRPr="00590E99">
        <w:rPr>
          <w:rFonts w:ascii="Arial" w:eastAsia="Arial" w:hAnsi="Arial" w:cs="Arial"/>
          <w:kern w:val="0"/>
          <w:sz w:val="22"/>
          <w:szCs w:val="22"/>
          <w:lang w:eastAsia="es-MX"/>
          <w14:ligatures w14:val="none"/>
        </w:rPr>
        <w:t>Mi representada no se encuentra en concurso mercantil.</w:t>
      </w:r>
    </w:p>
    <w:p w14:paraId="74F52ECB" w14:textId="77777777" w:rsidR="00590E99" w:rsidRPr="00590E99" w:rsidRDefault="00590E99" w:rsidP="00590E99">
      <w:pPr>
        <w:spacing w:after="0" w:line="276" w:lineRule="auto"/>
        <w:ind w:left="720"/>
        <w:jc w:val="both"/>
        <w:rPr>
          <w:rFonts w:ascii="Arial" w:eastAsia="Arial" w:hAnsi="Arial" w:cs="Arial"/>
          <w:kern w:val="0"/>
          <w:sz w:val="22"/>
          <w:szCs w:val="22"/>
          <w:lang w:eastAsia="es-MX"/>
          <w14:ligatures w14:val="none"/>
        </w:rPr>
      </w:pPr>
    </w:p>
    <w:p w14:paraId="7D110A31" w14:textId="77777777" w:rsidR="00590E99" w:rsidRPr="00590E99" w:rsidRDefault="00000000" w:rsidP="00590E99">
      <w:pPr>
        <w:numPr>
          <w:ilvl w:val="0"/>
          <w:numId w:val="2"/>
        </w:numPr>
        <w:spacing w:after="0" w:line="276" w:lineRule="auto"/>
        <w:jc w:val="both"/>
        <w:rPr>
          <w:rFonts w:ascii="Arial" w:eastAsia="Arial" w:hAnsi="Arial" w:cs="Arial"/>
          <w:kern w:val="0"/>
          <w:sz w:val="22"/>
          <w:szCs w:val="22"/>
          <w:lang w:eastAsia="es-MX"/>
          <w14:ligatures w14:val="none"/>
        </w:rPr>
      </w:pPr>
      <w:r w:rsidRPr="00590E99">
        <w:rPr>
          <w:rFonts w:ascii="Arial" w:eastAsia="Arial" w:hAnsi="Arial" w:cs="Arial"/>
          <w:kern w:val="0"/>
          <w:sz w:val="22"/>
          <w:szCs w:val="22"/>
          <w:lang w:eastAsia="es-MX"/>
          <w14:ligatures w14:val="none"/>
        </w:rPr>
        <w:t>Las operaciones de mi representada cumplen con el marco jurídico aplicable.</w:t>
      </w:r>
    </w:p>
    <w:p w14:paraId="11C10219" w14:textId="77777777" w:rsidR="00590E99" w:rsidRPr="00590E99" w:rsidRDefault="00590E99" w:rsidP="00590E99">
      <w:pPr>
        <w:spacing w:after="0" w:line="276" w:lineRule="auto"/>
        <w:jc w:val="both"/>
        <w:rPr>
          <w:rFonts w:ascii="Arial" w:eastAsia="Arial" w:hAnsi="Arial" w:cs="Arial"/>
          <w:kern w:val="0"/>
          <w:sz w:val="22"/>
          <w:szCs w:val="22"/>
          <w:lang w:eastAsia="es-MX"/>
          <w14:ligatures w14:val="none"/>
        </w:rPr>
      </w:pPr>
    </w:p>
    <w:p w14:paraId="347A3C25" w14:textId="77777777" w:rsidR="00590E99" w:rsidRPr="00590E99" w:rsidRDefault="00000000" w:rsidP="00590E99">
      <w:pPr>
        <w:numPr>
          <w:ilvl w:val="0"/>
          <w:numId w:val="2"/>
        </w:numPr>
        <w:spacing w:after="0" w:line="276" w:lineRule="auto"/>
        <w:jc w:val="both"/>
        <w:rPr>
          <w:rFonts w:ascii="Arial" w:eastAsia="Arial" w:hAnsi="Arial" w:cs="Arial"/>
          <w:kern w:val="0"/>
          <w:sz w:val="22"/>
          <w:szCs w:val="22"/>
          <w:lang w:eastAsia="es-MX"/>
          <w14:ligatures w14:val="none"/>
        </w:rPr>
      </w:pPr>
      <w:r w:rsidRPr="00590E99">
        <w:rPr>
          <w:rFonts w:ascii="Arial" w:eastAsia="Arial" w:hAnsi="Arial" w:cs="Arial"/>
          <w:kern w:val="0"/>
          <w:sz w:val="22"/>
          <w:szCs w:val="22"/>
          <w:lang w:eastAsia="es-MX"/>
          <w14:ligatures w14:val="none"/>
        </w:rPr>
        <w:t>Los términos de la Oferta presentada por mi representada para la Licitación Pública  se elaboraron tomando en cuenta que su implementación cumplirá con las disposiciones legales mexicanas aplicables.</w:t>
      </w:r>
    </w:p>
    <w:p w14:paraId="506220B8" w14:textId="77777777" w:rsidR="00590E99" w:rsidRPr="00590E99" w:rsidRDefault="00590E99" w:rsidP="00590E99">
      <w:pPr>
        <w:spacing w:after="0" w:line="276" w:lineRule="auto"/>
        <w:jc w:val="both"/>
        <w:rPr>
          <w:rFonts w:ascii="Arial" w:eastAsia="Arial" w:hAnsi="Arial" w:cs="Arial"/>
          <w:kern w:val="0"/>
          <w:sz w:val="22"/>
          <w:szCs w:val="22"/>
          <w:lang w:eastAsia="es-MX"/>
          <w14:ligatures w14:val="none"/>
        </w:rPr>
      </w:pPr>
    </w:p>
    <w:p w14:paraId="5F8E2568" w14:textId="77777777" w:rsidR="00590E99" w:rsidRPr="00590E99" w:rsidRDefault="00000000" w:rsidP="00590E99">
      <w:pPr>
        <w:numPr>
          <w:ilvl w:val="0"/>
          <w:numId w:val="2"/>
        </w:numPr>
        <w:spacing w:after="0" w:line="276" w:lineRule="auto"/>
        <w:jc w:val="both"/>
        <w:rPr>
          <w:rFonts w:ascii="Arial" w:eastAsia="Arial" w:hAnsi="Arial" w:cs="Arial"/>
          <w:kern w:val="0"/>
          <w:sz w:val="22"/>
          <w:szCs w:val="22"/>
          <w:lang w:eastAsia="es-MX"/>
          <w14:ligatures w14:val="none"/>
        </w:rPr>
      </w:pPr>
      <w:r w:rsidRPr="00590E99">
        <w:rPr>
          <w:rFonts w:ascii="Arial" w:eastAsia="Arial" w:hAnsi="Arial" w:cs="Arial"/>
          <w:kern w:val="0"/>
          <w:sz w:val="22"/>
          <w:szCs w:val="22"/>
          <w:lang w:eastAsia="es-MX"/>
          <w14:ligatures w14:val="none"/>
        </w:rPr>
        <w:t>Mi representada está en cumplimiento con sus obligaciones fiscales federales, estatales y municipales, de conformidad con la normatividad aplicable.</w:t>
      </w:r>
    </w:p>
    <w:p w14:paraId="6B3DFC91" w14:textId="77777777" w:rsidR="00590E99" w:rsidRPr="00590E99" w:rsidRDefault="00590E99" w:rsidP="00590E99">
      <w:pPr>
        <w:spacing w:after="0" w:line="276" w:lineRule="auto"/>
        <w:jc w:val="both"/>
        <w:rPr>
          <w:rFonts w:ascii="Arial" w:eastAsia="Arial" w:hAnsi="Arial" w:cs="Arial"/>
          <w:kern w:val="0"/>
          <w:sz w:val="22"/>
          <w:szCs w:val="22"/>
          <w:lang w:eastAsia="es-MX"/>
          <w14:ligatures w14:val="none"/>
        </w:rPr>
      </w:pPr>
    </w:p>
    <w:p w14:paraId="440F3532" w14:textId="77777777" w:rsidR="00590E99" w:rsidRPr="00590E99" w:rsidRDefault="00000000" w:rsidP="00590E99">
      <w:pPr>
        <w:numPr>
          <w:ilvl w:val="0"/>
          <w:numId w:val="2"/>
        </w:numPr>
        <w:spacing w:after="0" w:line="276" w:lineRule="auto"/>
        <w:jc w:val="both"/>
        <w:rPr>
          <w:rFonts w:ascii="Arial" w:eastAsia="Arial" w:hAnsi="Arial" w:cs="Arial"/>
          <w:kern w:val="0"/>
          <w:sz w:val="22"/>
          <w:szCs w:val="22"/>
          <w:lang w:eastAsia="es-MX"/>
          <w14:ligatures w14:val="none"/>
        </w:rPr>
      </w:pPr>
      <w:r w:rsidRPr="00590E99">
        <w:rPr>
          <w:rFonts w:ascii="Arial" w:eastAsia="Arial" w:hAnsi="Arial" w:cs="Arial"/>
          <w:kern w:val="0"/>
          <w:sz w:val="22"/>
          <w:szCs w:val="22"/>
          <w:lang w:eastAsia="es-MX"/>
          <w14:ligatures w14:val="none"/>
        </w:rPr>
        <w:t>Mi representada no se encuentra en mora o incumplimiento de la entrega de bienes o prestación de servicios respecto a contrataciones públicas con el gobierno federal, estatal o municipal.</w:t>
      </w:r>
    </w:p>
    <w:p w14:paraId="16789602" w14:textId="77777777" w:rsidR="00590E99" w:rsidRPr="00590E99" w:rsidRDefault="00590E99" w:rsidP="00590E99">
      <w:pPr>
        <w:spacing w:after="0" w:line="276" w:lineRule="auto"/>
        <w:ind w:left="720"/>
        <w:jc w:val="both"/>
        <w:rPr>
          <w:rFonts w:ascii="Arial" w:eastAsia="Arial" w:hAnsi="Arial" w:cs="Arial"/>
          <w:kern w:val="0"/>
          <w:sz w:val="22"/>
          <w:szCs w:val="22"/>
          <w:lang w:eastAsia="es-MX"/>
          <w14:ligatures w14:val="none"/>
        </w:rPr>
      </w:pPr>
    </w:p>
    <w:p w14:paraId="2B1F9236" w14:textId="77777777" w:rsidR="00590E99" w:rsidRPr="00590E99" w:rsidRDefault="00000000" w:rsidP="00590E99">
      <w:pPr>
        <w:numPr>
          <w:ilvl w:val="0"/>
          <w:numId w:val="2"/>
        </w:numPr>
        <w:spacing w:after="0" w:line="276" w:lineRule="auto"/>
        <w:jc w:val="both"/>
        <w:rPr>
          <w:rFonts w:ascii="Arial" w:eastAsia="Arial" w:hAnsi="Arial" w:cs="Arial"/>
          <w:kern w:val="0"/>
          <w:sz w:val="22"/>
          <w:szCs w:val="22"/>
          <w:lang w:eastAsia="es-MX"/>
          <w14:ligatures w14:val="none"/>
        </w:rPr>
      </w:pPr>
      <w:r w:rsidRPr="00590E99">
        <w:rPr>
          <w:rFonts w:ascii="Arial" w:eastAsia="Arial" w:hAnsi="Arial" w:cs="Arial"/>
          <w:kern w:val="0"/>
          <w:sz w:val="22"/>
          <w:szCs w:val="22"/>
          <w:lang w:eastAsia="es-MX"/>
          <w14:ligatures w14:val="none"/>
        </w:rPr>
        <w:t>Mi representada está en cumplimiento con sus obligaciones fiscales federales, estatales y municipales, de conformidad con la normatividad aplicable.</w:t>
      </w:r>
    </w:p>
    <w:p w14:paraId="7538E008" w14:textId="77777777" w:rsidR="00590E99" w:rsidRPr="00590E99" w:rsidRDefault="00590E99" w:rsidP="00590E99">
      <w:pPr>
        <w:spacing w:after="0" w:line="276" w:lineRule="auto"/>
        <w:jc w:val="both"/>
        <w:rPr>
          <w:rFonts w:ascii="Arial" w:eastAsia="Arial" w:hAnsi="Arial" w:cs="Arial"/>
          <w:kern w:val="0"/>
          <w:sz w:val="22"/>
          <w:szCs w:val="22"/>
          <w:lang w:eastAsia="es-MX"/>
          <w14:ligatures w14:val="none"/>
        </w:rPr>
      </w:pPr>
    </w:p>
    <w:p w14:paraId="21F77883" w14:textId="77777777" w:rsidR="00590E99" w:rsidRPr="00590E99" w:rsidRDefault="00000000" w:rsidP="00590E99">
      <w:pPr>
        <w:numPr>
          <w:ilvl w:val="0"/>
          <w:numId w:val="2"/>
        </w:numPr>
        <w:spacing w:after="0" w:line="276" w:lineRule="auto"/>
        <w:jc w:val="both"/>
        <w:rPr>
          <w:rFonts w:ascii="Arial" w:eastAsia="Arial" w:hAnsi="Arial" w:cs="Arial"/>
          <w:kern w:val="0"/>
          <w:sz w:val="22"/>
          <w:szCs w:val="22"/>
          <w:lang w:eastAsia="es-MX"/>
          <w14:ligatures w14:val="none"/>
        </w:rPr>
      </w:pPr>
      <w:r w:rsidRPr="00590E99">
        <w:rPr>
          <w:rFonts w:ascii="Arial" w:eastAsia="Arial" w:hAnsi="Arial" w:cs="Arial"/>
          <w:kern w:val="0"/>
          <w:sz w:val="22"/>
          <w:szCs w:val="22"/>
          <w:lang w:eastAsia="es-MX"/>
          <w14:ligatures w14:val="none"/>
        </w:rPr>
        <w:t>Mi representada no se encuentra en mora o incumplimiento de la entrega de bienes o prestación de servicios respecto a contrataciones públicas con el gobierno federal, estatal o municipal.</w:t>
      </w:r>
    </w:p>
    <w:p w14:paraId="2DD6F8C1" w14:textId="77777777" w:rsidR="00590E99" w:rsidRPr="00590E99" w:rsidRDefault="00590E99" w:rsidP="00590E99">
      <w:pPr>
        <w:spacing w:after="0" w:line="276" w:lineRule="auto"/>
        <w:jc w:val="both"/>
        <w:rPr>
          <w:rFonts w:ascii="Arial" w:eastAsia="Arial" w:hAnsi="Arial" w:cs="Arial"/>
          <w:kern w:val="0"/>
          <w:sz w:val="22"/>
          <w:szCs w:val="22"/>
          <w:lang w:eastAsia="es-MX"/>
          <w14:ligatures w14:val="none"/>
        </w:rPr>
      </w:pPr>
    </w:p>
    <w:p w14:paraId="2B11E2AD" w14:textId="77777777" w:rsidR="00590E99" w:rsidRPr="00590E99" w:rsidRDefault="00000000" w:rsidP="00590E99">
      <w:pPr>
        <w:numPr>
          <w:ilvl w:val="0"/>
          <w:numId w:val="2"/>
        </w:numPr>
        <w:spacing w:after="0" w:line="276" w:lineRule="auto"/>
        <w:jc w:val="both"/>
        <w:rPr>
          <w:rFonts w:ascii="Arial" w:eastAsia="Arial" w:hAnsi="Arial" w:cs="Arial"/>
          <w:kern w:val="0"/>
          <w:sz w:val="22"/>
          <w:szCs w:val="22"/>
          <w:lang w:eastAsia="es-MX"/>
          <w14:ligatures w14:val="none"/>
        </w:rPr>
      </w:pPr>
      <w:r w:rsidRPr="00590E99">
        <w:rPr>
          <w:rFonts w:ascii="Arial" w:eastAsia="Arial" w:hAnsi="Arial" w:cs="Arial"/>
          <w:kern w:val="0"/>
          <w:sz w:val="22"/>
          <w:szCs w:val="22"/>
          <w:lang w:eastAsia="es-MX"/>
          <w14:ligatures w14:val="none"/>
        </w:rPr>
        <w:t>Mi representada se compromete de manera incondicional a celebrar el Contrato de Crédito correspondiente en los términos establecidos en las Bases de la Licitación Pública, en el evento de que nuestra Oferta sea declarada como Oferta Calificada ganadora en la Licitación Pública.</w:t>
      </w:r>
    </w:p>
    <w:p w14:paraId="6831C32A" w14:textId="77777777" w:rsidR="00590E99" w:rsidRPr="00590E99" w:rsidRDefault="00590E99" w:rsidP="00590E99">
      <w:pPr>
        <w:spacing w:after="0" w:line="276" w:lineRule="auto"/>
        <w:jc w:val="both"/>
        <w:rPr>
          <w:rFonts w:ascii="Arial" w:eastAsia="Arial" w:hAnsi="Arial" w:cs="Arial"/>
          <w:kern w:val="0"/>
          <w:sz w:val="22"/>
          <w:szCs w:val="22"/>
          <w:lang w:eastAsia="es-MX"/>
          <w14:ligatures w14:val="none"/>
        </w:rPr>
      </w:pPr>
    </w:p>
    <w:p w14:paraId="58190490" w14:textId="77777777" w:rsidR="00590E99" w:rsidRPr="00590E99" w:rsidRDefault="00000000" w:rsidP="00590E99">
      <w:pPr>
        <w:numPr>
          <w:ilvl w:val="0"/>
          <w:numId w:val="2"/>
        </w:numPr>
        <w:spacing w:after="0" w:line="276" w:lineRule="auto"/>
        <w:jc w:val="both"/>
        <w:rPr>
          <w:rFonts w:ascii="Arial" w:eastAsia="Arial" w:hAnsi="Arial" w:cs="Arial"/>
          <w:kern w:val="0"/>
          <w:sz w:val="22"/>
          <w:szCs w:val="22"/>
          <w:lang w:eastAsia="es-MX"/>
          <w14:ligatures w14:val="none"/>
        </w:rPr>
      </w:pPr>
      <w:r w:rsidRPr="00590E99">
        <w:rPr>
          <w:rFonts w:ascii="Arial" w:eastAsia="Arial" w:hAnsi="Arial" w:cs="Arial"/>
          <w:kern w:val="0"/>
          <w:sz w:val="22"/>
          <w:szCs w:val="22"/>
          <w:lang w:eastAsia="es-MX"/>
          <w14:ligatures w14:val="none"/>
        </w:rPr>
        <w:t>Mi representada manifiesta su conformidad en que SADM podrá adjudicar y/o disponer de un monto menor al presentado en nuestra Oferta, en cuyo caso mi representada se obliga a mantener todas y cada una de las condiciones ofrecidas en la presente Oferta.</w:t>
      </w:r>
    </w:p>
    <w:p w14:paraId="52D0EE24" w14:textId="77777777" w:rsidR="00590E99" w:rsidRPr="00590E99" w:rsidRDefault="00590E99" w:rsidP="00590E99">
      <w:pPr>
        <w:spacing w:after="0" w:line="276" w:lineRule="auto"/>
        <w:jc w:val="both"/>
        <w:rPr>
          <w:rFonts w:ascii="Arial" w:eastAsia="Arial" w:hAnsi="Arial" w:cs="Arial"/>
          <w:kern w:val="0"/>
          <w:sz w:val="22"/>
          <w:szCs w:val="22"/>
          <w:lang w:eastAsia="es-MX"/>
          <w14:ligatures w14:val="none"/>
        </w:rPr>
      </w:pPr>
    </w:p>
    <w:p w14:paraId="344CAF26" w14:textId="77777777" w:rsidR="00590E99" w:rsidRPr="00590E99" w:rsidRDefault="00000000" w:rsidP="00590E99">
      <w:pPr>
        <w:numPr>
          <w:ilvl w:val="0"/>
          <w:numId w:val="2"/>
        </w:numPr>
        <w:spacing w:after="0" w:line="276" w:lineRule="auto"/>
        <w:jc w:val="both"/>
        <w:rPr>
          <w:rFonts w:ascii="Arial" w:eastAsia="Arial" w:hAnsi="Arial" w:cs="Arial"/>
          <w:kern w:val="0"/>
          <w:sz w:val="22"/>
          <w:szCs w:val="22"/>
          <w:lang w:eastAsia="es-MX"/>
          <w14:ligatures w14:val="none"/>
        </w:rPr>
      </w:pPr>
      <w:r w:rsidRPr="00590E99">
        <w:rPr>
          <w:rFonts w:ascii="Arial" w:eastAsia="Arial" w:hAnsi="Arial" w:cs="Arial"/>
          <w:kern w:val="0"/>
          <w:sz w:val="22"/>
          <w:szCs w:val="22"/>
          <w:lang w:eastAsia="es-MX"/>
          <w14:ligatures w14:val="none"/>
        </w:rPr>
        <w:t>La presente Oferta se considerará como una propuesta incondicional y obligatoria para los efectos legales que correspondan.</w:t>
      </w:r>
    </w:p>
    <w:p w14:paraId="7CE816FF" w14:textId="77777777" w:rsidR="00590E99" w:rsidRPr="00590E99" w:rsidRDefault="00590E99" w:rsidP="00590E99">
      <w:pPr>
        <w:spacing w:after="0" w:line="276" w:lineRule="auto"/>
        <w:jc w:val="both"/>
        <w:rPr>
          <w:rFonts w:ascii="Arial" w:eastAsia="Arial" w:hAnsi="Arial" w:cs="Arial"/>
          <w:kern w:val="0"/>
          <w:sz w:val="22"/>
          <w:szCs w:val="22"/>
          <w:lang w:eastAsia="es-MX"/>
          <w14:ligatures w14:val="none"/>
        </w:rPr>
      </w:pPr>
    </w:p>
    <w:p w14:paraId="6EC73ECD" w14:textId="77777777" w:rsidR="00590E99" w:rsidRPr="00590E99" w:rsidRDefault="00000000" w:rsidP="00590E99">
      <w:pPr>
        <w:numPr>
          <w:ilvl w:val="0"/>
          <w:numId w:val="2"/>
        </w:numPr>
        <w:spacing w:after="0" w:line="276" w:lineRule="auto"/>
        <w:jc w:val="both"/>
        <w:rPr>
          <w:rFonts w:ascii="Arial" w:eastAsia="Arial" w:hAnsi="Arial" w:cs="Arial"/>
          <w:kern w:val="0"/>
          <w:sz w:val="22"/>
          <w:szCs w:val="22"/>
          <w:lang w:eastAsia="es-MX"/>
          <w14:ligatures w14:val="none"/>
        </w:rPr>
      </w:pPr>
      <w:r w:rsidRPr="00590E99">
        <w:rPr>
          <w:rFonts w:ascii="Arial" w:eastAsia="Arial" w:hAnsi="Arial" w:cs="Arial"/>
          <w:kern w:val="0"/>
          <w:sz w:val="22"/>
          <w:szCs w:val="22"/>
          <w:lang w:eastAsia="es-MX"/>
          <w14:ligatures w14:val="none"/>
        </w:rPr>
        <w:t>Después de analizar las condiciones y especificaciones de las Bases, así como sus Anexos, mi representada somete a su consideración la presente Oferta y declara estar de acuerdo en que ustedes determinen la(s) Oferta(s) ganadora(s) de conformidad con las disposiciones de las Bases.</w:t>
      </w:r>
    </w:p>
    <w:p w14:paraId="6CC13C93" w14:textId="77777777" w:rsidR="00590E99" w:rsidRPr="00590E99" w:rsidRDefault="00590E99" w:rsidP="00590E99">
      <w:pPr>
        <w:spacing w:after="0" w:line="276" w:lineRule="auto"/>
        <w:jc w:val="both"/>
        <w:rPr>
          <w:rFonts w:ascii="Arial" w:eastAsia="Arial" w:hAnsi="Arial" w:cs="Arial"/>
          <w:kern w:val="0"/>
          <w:sz w:val="22"/>
          <w:szCs w:val="22"/>
          <w:lang w:eastAsia="es-MX"/>
          <w14:ligatures w14:val="none"/>
        </w:rPr>
      </w:pPr>
    </w:p>
    <w:p w14:paraId="4C3DC837" w14:textId="77777777" w:rsidR="00590E99" w:rsidRPr="00590E99" w:rsidRDefault="00000000" w:rsidP="00590E99">
      <w:pPr>
        <w:numPr>
          <w:ilvl w:val="0"/>
          <w:numId w:val="2"/>
        </w:numPr>
        <w:spacing w:after="0" w:line="276" w:lineRule="auto"/>
        <w:jc w:val="both"/>
        <w:rPr>
          <w:rFonts w:ascii="Arial" w:eastAsia="Arial" w:hAnsi="Arial" w:cs="Arial"/>
          <w:kern w:val="0"/>
          <w:sz w:val="22"/>
          <w:szCs w:val="22"/>
          <w:lang w:eastAsia="es-MX"/>
          <w14:ligatures w14:val="none"/>
        </w:rPr>
      </w:pPr>
      <w:r w:rsidRPr="00590E99">
        <w:rPr>
          <w:rFonts w:ascii="Arial" w:eastAsia="Arial" w:hAnsi="Arial" w:cs="Arial"/>
          <w:kern w:val="0"/>
          <w:sz w:val="22"/>
          <w:szCs w:val="22"/>
          <w:lang w:eastAsia="es-MX"/>
          <w14:ligatures w14:val="none"/>
        </w:rPr>
        <w:t>Para todo lo relacionado con la Licitación Pública, mi representada señala los siguientes datos de contacto:</w:t>
      </w:r>
    </w:p>
    <w:p w14:paraId="7936C6B6" w14:textId="77777777" w:rsidR="00590E99" w:rsidRPr="00590E99" w:rsidRDefault="00000000" w:rsidP="00590E99">
      <w:pPr>
        <w:spacing w:after="0" w:line="276" w:lineRule="auto"/>
        <w:ind w:left="360"/>
        <w:jc w:val="both"/>
        <w:rPr>
          <w:rFonts w:ascii="Arial" w:eastAsia="Arial" w:hAnsi="Arial" w:cs="Arial"/>
          <w:kern w:val="0"/>
          <w:sz w:val="22"/>
          <w:szCs w:val="22"/>
          <w:lang w:eastAsia="es-MX"/>
          <w14:ligatures w14:val="none"/>
        </w:rPr>
      </w:pPr>
      <w:r w:rsidRPr="00590E99">
        <w:rPr>
          <w:rFonts w:ascii="Arial" w:eastAsia="Arial" w:hAnsi="Arial" w:cs="Arial"/>
          <w:kern w:val="0"/>
          <w:sz w:val="22"/>
          <w:szCs w:val="22"/>
          <w:lang w:eastAsia="es-MX"/>
          <w14:ligatures w14:val="none"/>
        </w:rPr>
        <w:t xml:space="preserve"> </w:t>
      </w:r>
    </w:p>
    <w:p w14:paraId="45722110" w14:textId="77777777" w:rsidR="00590E99" w:rsidRPr="00590E99" w:rsidRDefault="00000000" w:rsidP="00590E99">
      <w:pPr>
        <w:spacing w:after="0" w:line="276" w:lineRule="auto"/>
        <w:jc w:val="both"/>
        <w:rPr>
          <w:rFonts w:ascii="Arial" w:eastAsia="Arial" w:hAnsi="Arial" w:cs="Arial"/>
          <w:kern w:val="0"/>
          <w:sz w:val="22"/>
          <w:szCs w:val="22"/>
          <w:lang w:eastAsia="es-MX"/>
          <w14:ligatures w14:val="none"/>
        </w:rPr>
      </w:pPr>
      <w:r w:rsidRPr="00590E99">
        <w:rPr>
          <w:rFonts w:ascii="Arial" w:eastAsia="Arial" w:hAnsi="Arial" w:cs="Arial"/>
          <w:kern w:val="0"/>
          <w:sz w:val="22"/>
          <w:szCs w:val="22"/>
          <w:lang w:eastAsia="es-MX"/>
          <w14:ligatures w14:val="none"/>
        </w:rPr>
        <w:t>Atención: [</w:t>
      </w:r>
      <w:r w:rsidRPr="00590E99">
        <w:rPr>
          <w:rFonts w:ascii="Arial" w:eastAsia="Arial" w:hAnsi="Arial" w:cs="Arial"/>
          <w:kern w:val="0"/>
          <w:sz w:val="22"/>
          <w:szCs w:val="22"/>
          <w:highlight w:val="yellow"/>
          <w:lang w:eastAsia="es-MX"/>
          <w14:ligatures w14:val="none"/>
        </w:rPr>
        <w:t>*</w:t>
      </w:r>
      <w:r w:rsidRPr="00590E99">
        <w:rPr>
          <w:rFonts w:ascii="Arial" w:eastAsia="Arial" w:hAnsi="Arial" w:cs="Arial"/>
          <w:kern w:val="0"/>
          <w:sz w:val="22"/>
          <w:szCs w:val="22"/>
          <w:lang w:eastAsia="es-MX"/>
          <w14:ligatures w14:val="none"/>
        </w:rPr>
        <w:t>]</w:t>
      </w:r>
    </w:p>
    <w:p w14:paraId="466B40D9" w14:textId="77777777" w:rsidR="00590E99" w:rsidRPr="00590E99" w:rsidRDefault="00000000" w:rsidP="00590E99">
      <w:pPr>
        <w:spacing w:after="0" w:line="276" w:lineRule="auto"/>
        <w:jc w:val="both"/>
        <w:rPr>
          <w:rFonts w:ascii="Arial" w:eastAsia="Arial" w:hAnsi="Arial" w:cs="Arial"/>
          <w:kern w:val="0"/>
          <w:sz w:val="22"/>
          <w:szCs w:val="22"/>
          <w:lang w:eastAsia="es-MX"/>
          <w14:ligatures w14:val="none"/>
        </w:rPr>
      </w:pPr>
      <w:r w:rsidRPr="00590E99">
        <w:rPr>
          <w:rFonts w:ascii="Arial" w:eastAsia="Arial" w:hAnsi="Arial" w:cs="Arial"/>
          <w:kern w:val="0"/>
          <w:sz w:val="22"/>
          <w:szCs w:val="22"/>
          <w:lang w:eastAsia="es-MX"/>
          <w14:ligatures w14:val="none"/>
        </w:rPr>
        <w:t>Domicilio: [</w:t>
      </w:r>
      <w:r w:rsidRPr="00590E99">
        <w:rPr>
          <w:rFonts w:ascii="Arial" w:eastAsia="Arial" w:hAnsi="Arial" w:cs="Arial"/>
          <w:kern w:val="0"/>
          <w:sz w:val="22"/>
          <w:szCs w:val="22"/>
          <w:highlight w:val="yellow"/>
          <w:lang w:eastAsia="es-MX"/>
          <w14:ligatures w14:val="none"/>
        </w:rPr>
        <w:t>*</w:t>
      </w:r>
      <w:r w:rsidRPr="00590E99">
        <w:rPr>
          <w:rFonts w:ascii="Arial" w:eastAsia="Arial" w:hAnsi="Arial" w:cs="Arial"/>
          <w:kern w:val="0"/>
          <w:sz w:val="22"/>
          <w:szCs w:val="22"/>
          <w:lang w:eastAsia="es-MX"/>
          <w14:ligatures w14:val="none"/>
        </w:rPr>
        <w:t>]</w:t>
      </w:r>
    </w:p>
    <w:p w14:paraId="1BA39D1A" w14:textId="77777777" w:rsidR="00590E99" w:rsidRPr="00590E99" w:rsidRDefault="00000000" w:rsidP="00590E99">
      <w:pPr>
        <w:spacing w:after="0" w:line="276" w:lineRule="auto"/>
        <w:jc w:val="both"/>
        <w:rPr>
          <w:rFonts w:ascii="Arial" w:eastAsia="Arial" w:hAnsi="Arial" w:cs="Arial"/>
          <w:kern w:val="0"/>
          <w:sz w:val="22"/>
          <w:szCs w:val="22"/>
          <w:lang w:eastAsia="es-MX"/>
          <w14:ligatures w14:val="none"/>
        </w:rPr>
      </w:pPr>
      <w:r w:rsidRPr="00590E99">
        <w:rPr>
          <w:rFonts w:ascii="Arial" w:eastAsia="Arial" w:hAnsi="Arial" w:cs="Arial"/>
          <w:kern w:val="0"/>
          <w:sz w:val="22"/>
          <w:szCs w:val="22"/>
          <w:lang w:eastAsia="es-MX"/>
          <w14:ligatures w14:val="none"/>
        </w:rPr>
        <w:t>Correo electrónico: [</w:t>
      </w:r>
      <w:r w:rsidRPr="00590E99">
        <w:rPr>
          <w:rFonts w:ascii="Arial" w:eastAsia="Arial" w:hAnsi="Arial" w:cs="Arial"/>
          <w:kern w:val="0"/>
          <w:sz w:val="22"/>
          <w:szCs w:val="22"/>
          <w:highlight w:val="yellow"/>
          <w:lang w:eastAsia="es-MX"/>
          <w14:ligatures w14:val="none"/>
        </w:rPr>
        <w:t>*</w:t>
      </w:r>
      <w:r w:rsidRPr="00590E99">
        <w:rPr>
          <w:rFonts w:ascii="Arial" w:eastAsia="Arial" w:hAnsi="Arial" w:cs="Arial"/>
          <w:kern w:val="0"/>
          <w:sz w:val="22"/>
          <w:szCs w:val="22"/>
          <w:lang w:eastAsia="es-MX"/>
          <w14:ligatures w14:val="none"/>
        </w:rPr>
        <w:t xml:space="preserve">] y </w:t>
      </w:r>
    </w:p>
    <w:p w14:paraId="6ECEA0DF" w14:textId="77777777" w:rsidR="00590E99" w:rsidRPr="00590E99" w:rsidRDefault="00000000" w:rsidP="00590E99">
      <w:pPr>
        <w:spacing w:after="0" w:line="276" w:lineRule="auto"/>
        <w:jc w:val="both"/>
        <w:rPr>
          <w:rFonts w:ascii="Arial" w:eastAsia="Arial" w:hAnsi="Arial" w:cs="Arial"/>
          <w:kern w:val="0"/>
          <w:sz w:val="22"/>
          <w:szCs w:val="22"/>
          <w:lang w:eastAsia="es-MX"/>
          <w14:ligatures w14:val="none"/>
        </w:rPr>
      </w:pPr>
      <w:r w:rsidRPr="00590E99">
        <w:rPr>
          <w:rFonts w:ascii="Arial" w:eastAsia="Arial" w:hAnsi="Arial" w:cs="Arial"/>
          <w:kern w:val="0"/>
          <w:sz w:val="22"/>
          <w:szCs w:val="22"/>
          <w:lang w:eastAsia="es-MX"/>
          <w14:ligatures w14:val="none"/>
        </w:rPr>
        <w:t>Teléfono: [</w:t>
      </w:r>
      <w:r w:rsidRPr="00590E99">
        <w:rPr>
          <w:rFonts w:ascii="Arial" w:eastAsia="Arial" w:hAnsi="Arial" w:cs="Arial"/>
          <w:kern w:val="0"/>
          <w:sz w:val="22"/>
          <w:szCs w:val="22"/>
          <w:highlight w:val="yellow"/>
          <w:lang w:eastAsia="es-MX"/>
          <w14:ligatures w14:val="none"/>
        </w:rPr>
        <w:t>*</w:t>
      </w:r>
      <w:r w:rsidRPr="00590E99">
        <w:rPr>
          <w:rFonts w:ascii="Arial" w:eastAsia="Arial" w:hAnsi="Arial" w:cs="Arial"/>
          <w:kern w:val="0"/>
          <w:sz w:val="22"/>
          <w:szCs w:val="22"/>
          <w:lang w:eastAsia="es-MX"/>
          <w14:ligatures w14:val="none"/>
        </w:rPr>
        <w:t>]</w:t>
      </w:r>
    </w:p>
    <w:p w14:paraId="07FE6E38" w14:textId="77777777" w:rsidR="00590E99" w:rsidRPr="00590E99" w:rsidRDefault="00000000" w:rsidP="00590E99">
      <w:pPr>
        <w:spacing w:after="0" w:line="276" w:lineRule="auto"/>
        <w:jc w:val="center"/>
        <w:rPr>
          <w:rFonts w:ascii="Arial" w:eastAsia="Arial" w:hAnsi="Arial" w:cs="Arial"/>
          <w:kern w:val="0"/>
          <w:sz w:val="22"/>
          <w:szCs w:val="22"/>
          <w:highlight w:val="yellow"/>
          <w:lang w:eastAsia="es-MX"/>
          <w14:ligatures w14:val="none"/>
        </w:rPr>
      </w:pPr>
      <w:r w:rsidRPr="00590E99">
        <w:rPr>
          <w:rFonts w:ascii="Arial" w:eastAsia="Arial" w:hAnsi="Arial" w:cs="Arial"/>
          <w:kern w:val="0"/>
          <w:sz w:val="22"/>
          <w:szCs w:val="22"/>
          <w:highlight w:val="yellow"/>
          <w:lang w:eastAsia="es-MX"/>
          <w14:ligatures w14:val="none"/>
        </w:rPr>
        <w:t xml:space="preserve"> </w:t>
      </w:r>
    </w:p>
    <w:p w14:paraId="46D720B4" w14:textId="77777777" w:rsidR="00590E99" w:rsidRPr="00590E99" w:rsidRDefault="00000000" w:rsidP="00590E99">
      <w:pPr>
        <w:spacing w:after="0" w:line="276" w:lineRule="auto"/>
        <w:jc w:val="center"/>
        <w:rPr>
          <w:rFonts w:ascii="Arial" w:eastAsia="Arial" w:hAnsi="Arial" w:cs="Arial"/>
          <w:kern w:val="0"/>
          <w:sz w:val="22"/>
          <w:szCs w:val="22"/>
          <w:lang w:eastAsia="es-MX"/>
          <w14:ligatures w14:val="none"/>
        </w:rPr>
      </w:pPr>
      <w:r w:rsidRPr="00590E99">
        <w:rPr>
          <w:rFonts w:ascii="Arial" w:eastAsia="Arial" w:hAnsi="Arial" w:cs="Arial"/>
          <w:kern w:val="0"/>
          <w:sz w:val="22"/>
          <w:szCs w:val="22"/>
          <w:lang w:eastAsia="es-MX"/>
          <w14:ligatures w14:val="none"/>
        </w:rPr>
        <w:t xml:space="preserve"> Atentamente, </w:t>
      </w:r>
    </w:p>
    <w:p w14:paraId="460E625F" w14:textId="77777777" w:rsidR="00590E99" w:rsidRPr="00590E99" w:rsidRDefault="00000000" w:rsidP="00590E99">
      <w:pPr>
        <w:spacing w:after="0" w:line="276" w:lineRule="auto"/>
        <w:jc w:val="center"/>
        <w:rPr>
          <w:rFonts w:ascii="Arial" w:eastAsia="Arial" w:hAnsi="Arial" w:cs="Arial"/>
          <w:b/>
          <w:kern w:val="0"/>
          <w:sz w:val="22"/>
          <w:szCs w:val="22"/>
          <w:lang w:eastAsia="es-MX"/>
          <w14:ligatures w14:val="none"/>
        </w:rPr>
      </w:pPr>
      <w:r w:rsidRPr="00590E99">
        <w:rPr>
          <w:rFonts w:ascii="Arial" w:eastAsia="Arial" w:hAnsi="Arial" w:cs="Arial"/>
          <w:b/>
          <w:kern w:val="0"/>
          <w:sz w:val="22"/>
          <w:szCs w:val="22"/>
          <w:lang w:eastAsia="es-MX"/>
          <w14:ligatures w14:val="none"/>
        </w:rPr>
        <w:t>[Institución Financiera]</w:t>
      </w:r>
    </w:p>
    <w:p w14:paraId="30E0AD34" w14:textId="77777777" w:rsidR="00590E99" w:rsidRPr="00590E99" w:rsidRDefault="00590E99" w:rsidP="00590E99">
      <w:pPr>
        <w:spacing w:after="0" w:line="276" w:lineRule="auto"/>
        <w:jc w:val="center"/>
        <w:rPr>
          <w:rFonts w:ascii="Arial" w:eastAsia="Arial" w:hAnsi="Arial" w:cs="Arial"/>
          <w:b/>
          <w:kern w:val="0"/>
          <w:sz w:val="22"/>
          <w:szCs w:val="22"/>
          <w:lang w:eastAsia="es-MX"/>
          <w14:ligatures w14:val="none"/>
        </w:rPr>
      </w:pPr>
    </w:p>
    <w:tbl>
      <w:tblPr>
        <w:tblW w:w="43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tblGrid>
      <w:tr w:rsidR="00DA57A7" w14:paraId="560A1621" w14:textId="77777777" w:rsidTr="00D5613F">
        <w:trPr>
          <w:jc w:val="center"/>
        </w:trPr>
        <w:tc>
          <w:tcPr>
            <w:tcW w:w="4320" w:type="dxa"/>
            <w:tcBorders>
              <w:top w:val="nil"/>
              <w:left w:val="nil"/>
              <w:bottom w:val="single" w:sz="8" w:space="0" w:color="000000"/>
              <w:right w:val="nil"/>
            </w:tcBorders>
            <w:shd w:val="clear" w:color="auto" w:fill="auto"/>
            <w:tcMar>
              <w:top w:w="100" w:type="dxa"/>
              <w:left w:w="100" w:type="dxa"/>
              <w:bottom w:w="100" w:type="dxa"/>
              <w:right w:w="100" w:type="dxa"/>
            </w:tcMar>
          </w:tcPr>
          <w:p w14:paraId="366183CD" w14:textId="77777777" w:rsidR="00590E99" w:rsidRPr="00590E99" w:rsidRDefault="00590E99" w:rsidP="00590E99">
            <w:pPr>
              <w:widowControl w:val="0"/>
              <w:spacing w:after="0" w:line="276" w:lineRule="auto"/>
              <w:ind w:left="1440"/>
              <w:jc w:val="center"/>
              <w:rPr>
                <w:rFonts w:ascii="Arial" w:eastAsia="Arial" w:hAnsi="Arial" w:cs="Arial"/>
                <w:b/>
                <w:kern w:val="0"/>
                <w:sz w:val="22"/>
                <w:szCs w:val="22"/>
                <w:lang w:eastAsia="es-MX"/>
                <w14:ligatures w14:val="none"/>
              </w:rPr>
            </w:pPr>
          </w:p>
        </w:tc>
      </w:tr>
      <w:tr w:rsidR="00DA57A7" w14:paraId="75465640" w14:textId="77777777" w:rsidTr="00D5613F">
        <w:trPr>
          <w:jc w:val="center"/>
        </w:trPr>
        <w:tc>
          <w:tcPr>
            <w:tcW w:w="4320" w:type="dxa"/>
            <w:tcBorders>
              <w:left w:val="nil"/>
              <w:bottom w:val="nil"/>
              <w:right w:val="nil"/>
            </w:tcBorders>
            <w:shd w:val="clear" w:color="auto" w:fill="auto"/>
            <w:tcMar>
              <w:top w:w="100" w:type="dxa"/>
              <w:left w:w="100" w:type="dxa"/>
              <w:bottom w:w="100" w:type="dxa"/>
              <w:right w:w="100" w:type="dxa"/>
            </w:tcMar>
          </w:tcPr>
          <w:p w14:paraId="5BFFD4D7" w14:textId="77777777" w:rsidR="00590E99" w:rsidRPr="00590E99" w:rsidRDefault="00000000" w:rsidP="00590E99">
            <w:pPr>
              <w:widowControl w:val="0"/>
              <w:spacing w:after="0" w:line="276" w:lineRule="auto"/>
              <w:jc w:val="center"/>
              <w:rPr>
                <w:rFonts w:ascii="Arial" w:eastAsia="Arial" w:hAnsi="Arial" w:cs="Arial"/>
                <w:kern w:val="0"/>
                <w:sz w:val="22"/>
                <w:szCs w:val="22"/>
                <w:lang w:eastAsia="es-MX"/>
                <w14:ligatures w14:val="none"/>
              </w:rPr>
            </w:pPr>
            <w:r w:rsidRPr="00590E99">
              <w:rPr>
                <w:rFonts w:ascii="Arial" w:eastAsia="Arial" w:hAnsi="Arial" w:cs="Arial"/>
                <w:kern w:val="0"/>
                <w:sz w:val="22"/>
                <w:szCs w:val="22"/>
                <w:lang w:eastAsia="es-MX"/>
                <w14:ligatures w14:val="none"/>
              </w:rPr>
              <w:t>[Nombre]</w:t>
            </w:r>
          </w:p>
          <w:p w14:paraId="009528AE" w14:textId="77777777" w:rsidR="00590E99" w:rsidRPr="00590E99" w:rsidRDefault="00000000" w:rsidP="00590E99">
            <w:pPr>
              <w:widowControl w:val="0"/>
              <w:spacing w:after="0" w:line="276" w:lineRule="auto"/>
              <w:jc w:val="center"/>
              <w:rPr>
                <w:rFonts w:ascii="Arial" w:eastAsia="Arial" w:hAnsi="Arial" w:cs="Arial"/>
                <w:kern w:val="0"/>
                <w:sz w:val="22"/>
                <w:szCs w:val="22"/>
                <w:lang w:eastAsia="es-MX"/>
                <w14:ligatures w14:val="none"/>
              </w:rPr>
            </w:pPr>
            <w:r w:rsidRPr="00590E99">
              <w:rPr>
                <w:rFonts w:ascii="Arial" w:eastAsia="Arial" w:hAnsi="Arial" w:cs="Arial"/>
                <w:kern w:val="0"/>
                <w:sz w:val="22"/>
                <w:szCs w:val="22"/>
                <w:lang w:eastAsia="es-MX"/>
                <w14:ligatures w14:val="none"/>
              </w:rPr>
              <w:t>Cargo: Representante Legal</w:t>
            </w:r>
          </w:p>
        </w:tc>
      </w:tr>
    </w:tbl>
    <w:p w14:paraId="73A4CD18" w14:textId="0DCC239D" w:rsidR="00590E99" w:rsidRPr="00285862" w:rsidRDefault="00590E99" w:rsidP="00285862">
      <w:pPr>
        <w:spacing w:after="0" w:line="276" w:lineRule="auto"/>
        <w:rPr>
          <w:rFonts w:ascii="Arial" w:eastAsia="Arial" w:hAnsi="Arial" w:cs="Arial"/>
          <w:b/>
          <w:color w:val="0C0C0E"/>
          <w:kern w:val="0"/>
          <w:sz w:val="22"/>
          <w:szCs w:val="22"/>
          <w:lang w:eastAsia="es-MX"/>
          <w14:ligatures w14:val="none"/>
        </w:rPr>
      </w:pPr>
    </w:p>
    <w:p w14:paraId="145D1778" w14:textId="77777777" w:rsidR="00590E99" w:rsidRPr="00590E99" w:rsidRDefault="00590E99" w:rsidP="00590E99">
      <w:pPr>
        <w:spacing w:after="0" w:line="276" w:lineRule="auto"/>
        <w:ind w:right="90"/>
        <w:jc w:val="center"/>
        <w:rPr>
          <w:rFonts w:ascii="Arial" w:eastAsia="Arial" w:hAnsi="Arial" w:cs="Arial"/>
          <w:color w:val="0C0C0E"/>
          <w:kern w:val="0"/>
          <w:sz w:val="22"/>
          <w:szCs w:val="22"/>
          <w:u w:val="single"/>
          <w:shd w:val="clear" w:color="auto" w:fill="CFE2F3"/>
          <w:lang w:eastAsia="es-MX"/>
          <w14:ligatures w14:val="none"/>
        </w:rPr>
      </w:pPr>
    </w:p>
    <w:p w14:paraId="3FCE61BC" w14:textId="7F053C52" w:rsidR="00590E99" w:rsidRPr="00285862" w:rsidRDefault="00590E99" w:rsidP="00285862">
      <w:pPr>
        <w:spacing w:after="0" w:line="276" w:lineRule="auto"/>
        <w:ind w:right="90"/>
        <w:jc w:val="center"/>
        <w:rPr>
          <w:rFonts w:ascii="Arial" w:eastAsia="Arial" w:hAnsi="Arial" w:cs="Arial"/>
          <w:color w:val="0C0C0E"/>
          <w:kern w:val="0"/>
          <w:sz w:val="22"/>
          <w:szCs w:val="22"/>
          <w:shd w:val="clear" w:color="auto" w:fill="CFE2F3"/>
          <w:lang w:eastAsia="es-MX"/>
          <w14:ligatures w14:val="none"/>
        </w:rPr>
      </w:pPr>
    </w:p>
    <w:sectPr w:rsidR="00590E99" w:rsidRPr="00285862" w:rsidSect="00590E99">
      <w:headerReference w:type="default" r:id="rId7"/>
      <w:pgSz w:w="12240" w:h="15840"/>
      <w:pgMar w:top="2970" w:right="1701" w:bottom="184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787E3" w14:textId="77777777" w:rsidR="00DA6039" w:rsidRDefault="00DA6039">
      <w:pPr>
        <w:spacing w:after="0" w:line="240" w:lineRule="auto"/>
      </w:pPr>
      <w:r>
        <w:separator/>
      </w:r>
    </w:p>
  </w:endnote>
  <w:endnote w:type="continuationSeparator" w:id="0">
    <w:p w14:paraId="0148E8C4" w14:textId="77777777" w:rsidR="00DA6039" w:rsidRDefault="00DA6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3625E" w14:textId="77777777" w:rsidR="00DA6039" w:rsidRDefault="00DA6039">
      <w:pPr>
        <w:spacing w:after="0" w:line="240" w:lineRule="auto"/>
      </w:pPr>
      <w:r>
        <w:separator/>
      </w:r>
    </w:p>
  </w:footnote>
  <w:footnote w:type="continuationSeparator" w:id="0">
    <w:p w14:paraId="76D0F397" w14:textId="77777777" w:rsidR="00DA6039" w:rsidRDefault="00DA60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C1793" w14:textId="77777777" w:rsidR="00B26421" w:rsidRDefault="00000000">
    <w:pPr>
      <w:pStyle w:val="Header"/>
    </w:pPr>
    <w:r>
      <w:rPr>
        <w:noProof/>
        <w:lang w:eastAsia="es-MX"/>
      </w:rPr>
      <w:drawing>
        <wp:anchor distT="0" distB="0" distL="114300" distR="114300" simplePos="0" relativeHeight="251661312" behindDoc="1" locked="0" layoutInCell="1" allowOverlap="1" wp14:anchorId="5484E7B5" wp14:editId="09B9F11C">
          <wp:simplePos x="0" y="0"/>
          <wp:positionH relativeFrom="page">
            <wp:posOffset>257810</wp:posOffset>
          </wp:positionH>
          <wp:positionV relativeFrom="paragraph">
            <wp:posOffset>256540</wp:posOffset>
          </wp:positionV>
          <wp:extent cx="2513129" cy="914188"/>
          <wp:effectExtent l="0" t="0" r="1905" b="635"/>
          <wp:wrapNone/>
          <wp:docPr id="1667454073"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729551" name="Picture 1"/>
                  <pic:cNvPicPr>
                    <a:picLocks noChangeAspect="1" noChangeArrowheads="1"/>
                  </pic:cNvPicPr>
                </pic:nvPicPr>
                <pic:blipFill>
                  <a:blip r:embed="rId1">
                    <a:extLst>
                      <a:ext uri="{28A0092B-C50C-407E-A947-70E740481C1C}">
                        <a14:useLocalDpi xmlns:a14="http://schemas.microsoft.com/office/drawing/2010/main" val="0"/>
                      </a:ext>
                    </a:extLst>
                  </a:blip>
                  <a:srcRect l="6064" t="6647" r="61752" b="84320"/>
                  <a:stretch>
                    <a:fillRect/>
                  </a:stretch>
                </pic:blipFill>
                <pic:spPr bwMode="auto">
                  <a:xfrm>
                    <a:off x="0" y="0"/>
                    <a:ext cx="2513129" cy="91418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58240" behindDoc="1" locked="0" layoutInCell="1" allowOverlap="1" wp14:anchorId="3D63774B" wp14:editId="2BE453F6">
          <wp:simplePos x="0" y="0"/>
          <wp:positionH relativeFrom="page">
            <wp:align>right</wp:align>
          </wp:positionH>
          <wp:positionV relativeFrom="paragraph">
            <wp:posOffset>-448945</wp:posOffset>
          </wp:positionV>
          <wp:extent cx="7815731" cy="10130715"/>
          <wp:effectExtent l="0" t="0" r="0" b="4445"/>
          <wp:wrapNone/>
          <wp:docPr id="159825634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122783"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815731" cy="101307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2034">
      <w:rPr>
        <w:noProof/>
        <w:lang w:eastAsia="es-MX"/>
      </w:rPr>
      <mc:AlternateContent>
        <mc:Choice Requires="wps">
          <w:drawing>
            <wp:anchor distT="0" distB="0" distL="114300" distR="114300" simplePos="0" relativeHeight="251659264" behindDoc="1" locked="0" layoutInCell="1" allowOverlap="1" wp14:anchorId="7175C46E" wp14:editId="4DFD956A">
              <wp:simplePos x="0" y="0"/>
              <wp:positionH relativeFrom="column">
                <wp:posOffset>-665268</wp:posOffset>
              </wp:positionH>
              <wp:positionV relativeFrom="paragraph">
                <wp:posOffset>66887</wp:posOffset>
              </wp:positionV>
              <wp:extent cx="2573866" cy="973666"/>
              <wp:effectExtent l="0" t="0" r="0" b="0"/>
              <wp:wrapNone/>
              <wp:docPr id="492722916" name="Rectángulo 2"/>
              <wp:cNvGraphicFramePr/>
              <a:graphic xmlns:a="http://schemas.openxmlformats.org/drawingml/2006/main">
                <a:graphicData uri="http://schemas.microsoft.com/office/word/2010/wordprocessingShape">
                  <wps:wsp>
                    <wps:cNvSpPr/>
                    <wps:spPr>
                      <a:xfrm>
                        <a:off x="0" y="0"/>
                        <a:ext cx="2573866" cy="973666"/>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ángulo 2" o:spid="_x0000_s2049" style="width:202.65pt;height:76.65pt;margin-top:5.25pt;margin-left:-52.4pt;mso-height-percent:0;mso-height-relative:margin;mso-width-percent:0;mso-width-relative:margin;mso-wrap-distance-bottom:0;mso-wrap-distance-left:9pt;mso-wrap-distance-right:9pt;mso-wrap-distance-top:0;mso-wrap-style:square;position:absolute;visibility:visible;v-text-anchor:middle;z-index:-251656192" fillcolor="white"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34068"/>
    <w:multiLevelType w:val="multilevel"/>
    <w:tmpl w:val="28ACC358"/>
    <w:lvl w:ilvl="0">
      <w:start w:val="1"/>
      <w:numFmt w:val="lowerRoman"/>
      <w:lvlText w:val="%1."/>
      <w:lvlJc w:val="right"/>
      <w:pPr>
        <w:ind w:left="144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6215208"/>
    <w:multiLevelType w:val="multilevel"/>
    <w:tmpl w:val="6390E47E"/>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 w15:restartNumberingAfterBreak="0">
    <w:nsid w:val="08512C53"/>
    <w:multiLevelType w:val="multilevel"/>
    <w:tmpl w:val="733433CE"/>
    <w:lvl w:ilvl="0">
      <w:start w:val="1"/>
      <w:numFmt w:val="upperLetter"/>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86E038A"/>
    <w:multiLevelType w:val="multilevel"/>
    <w:tmpl w:val="05C00644"/>
    <w:lvl w:ilvl="0">
      <w:start w:val="1"/>
      <w:numFmt w:val="low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97D408C"/>
    <w:multiLevelType w:val="multilevel"/>
    <w:tmpl w:val="F3D4AD02"/>
    <w:lvl w:ilvl="0">
      <w:start w:val="1"/>
      <w:numFmt w:val="upperLetter"/>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1AC4FE5"/>
    <w:multiLevelType w:val="multilevel"/>
    <w:tmpl w:val="F3D4AD02"/>
    <w:lvl w:ilvl="0">
      <w:start w:val="1"/>
      <w:numFmt w:val="upperLetter"/>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3851024"/>
    <w:multiLevelType w:val="multilevel"/>
    <w:tmpl w:val="E53852C0"/>
    <w:lvl w:ilvl="0">
      <w:start w:val="1"/>
      <w:numFmt w:val="lowerRoman"/>
      <w:lvlText w:val="%1."/>
      <w:lvlJc w:val="right"/>
      <w:pPr>
        <w:ind w:left="144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4E6B324D"/>
    <w:multiLevelType w:val="multilevel"/>
    <w:tmpl w:val="F3803D5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218755A"/>
    <w:multiLevelType w:val="multilevel"/>
    <w:tmpl w:val="99ACCBC8"/>
    <w:lvl w:ilvl="0">
      <w:start w:val="1"/>
      <w:numFmt w:val="upperRoman"/>
      <w:lvlText w:val="%1."/>
      <w:lvlJc w:val="right"/>
      <w:pPr>
        <w:ind w:left="720" w:hanging="360"/>
      </w:pPr>
      <w:rPr>
        <w:u w:val="none"/>
      </w:rPr>
    </w:lvl>
    <w:lvl w:ilvl="1">
      <w:start w:val="1"/>
      <w:numFmt w:val="decimal"/>
      <w:lvlText w:val="%2."/>
      <w:lvlJc w:val="left"/>
      <w:pPr>
        <w:ind w:left="216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41837E4"/>
    <w:multiLevelType w:val="multilevel"/>
    <w:tmpl w:val="E54C447C"/>
    <w:lvl w:ilvl="0">
      <w:start w:val="1"/>
      <w:numFmt w:val="lowerRoman"/>
      <w:lvlText w:val="%1."/>
      <w:lvlJc w:val="right"/>
      <w:pPr>
        <w:ind w:left="1440" w:hanging="360"/>
      </w:pPr>
      <w:rPr>
        <w:rFonts w:ascii="Arial" w:eastAsia="Arial" w:hAnsi="Arial" w:cs="Arial"/>
        <w:b w:val="0"/>
        <w:u w:val="none"/>
      </w:rPr>
    </w:lvl>
    <w:lvl w:ilvl="1">
      <w:start w:val="1"/>
      <w:numFmt w:val="decimal"/>
      <w:lvlText w:val="%1.%2."/>
      <w:lvlJc w:val="right"/>
      <w:pPr>
        <w:ind w:left="2880" w:hanging="360"/>
      </w:pPr>
      <w:rPr>
        <w:u w:val="none"/>
      </w:rPr>
    </w:lvl>
    <w:lvl w:ilvl="2">
      <w:start w:val="1"/>
      <w:numFmt w:val="decimal"/>
      <w:lvlText w:val="%1.%2.%3."/>
      <w:lvlJc w:val="right"/>
      <w:pPr>
        <w:ind w:left="3600" w:hanging="360"/>
      </w:pPr>
      <w:rPr>
        <w:u w:val="none"/>
      </w:rPr>
    </w:lvl>
    <w:lvl w:ilvl="3">
      <w:start w:val="1"/>
      <w:numFmt w:val="decimal"/>
      <w:lvlText w:val="%1.%2.%3.%4."/>
      <w:lvlJc w:val="right"/>
      <w:pPr>
        <w:ind w:left="4320" w:hanging="360"/>
      </w:pPr>
      <w:rPr>
        <w:u w:val="none"/>
      </w:rPr>
    </w:lvl>
    <w:lvl w:ilvl="4">
      <w:start w:val="1"/>
      <w:numFmt w:val="decimal"/>
      <w:lvlText w:val="%1.%2.%3.%4.%5."/>
      <w:lvlJc w:val="right"/>
      <w:pPr>
        <w:ind w:left="5040" w:hanging="360"/>
      </w:pPr>
      <w:rPr>
        <w:u w:val="none"/>
      </w:rPr>
    </w:lvl>
    <w:lvl w:ilvl="5">
      <w:start w:val="1"/>
      <w:numFmt w:val="decimal"/>
      <w:lvlText w:val="%1.%2.%3.%4.%5.%6."/>
      <w:lvlJc w:val="right"/>
      <w:pPr>
        <w:ind w:left="5760" w:hanging="360"/>
      </w:pPr>
      <w:rPr>
        <w:u w:val="none"/>
      </w:rPr>
    </w:lvl>
    <w:lvl w:ilvl="6">
      <w:start w:val="1"/>
      <w:numFmt w:val="decimal"/>
      <w:lvlText w:val="%1.%2.%3.%4.%5.%6.%7."/>
      <w:lvlJc w:val="right"/>
      <w:pPr>
        <w:ind w:left="6480" w:hanging="360"/>
      </w:pPr>
      <w:rPr>
        <w:u w:val="none"/>
      </w:rPr>
    </w:lvl>
    <w:lvl w:ilvl="7">
      <w:start w:val="1"/>
      <w:numFmt w:val="decimal"/>
      <w:lvlText w:val="%1.%2.%3.%4.%5.%6.%7.%8."/>
      <w:lvlJc w:val="right"/>
      <w:pPr>
        <w:ind w:left="7200" w:hanging="360"/>
      </w:pPr>
      <w:rPr>
        <w:u w:val="none"/>
      </w:rPr>
    </w:lvl>
    <w:lvl w:ilvl="8">
      <w:start w:val="1"/>
      <w:numFmt w:val="decimal"/>
      <w:lvlText w:val="%1.%2.%3.%4.%5.%6.%7.%8.%9."/>
      <w:lvlJc w:val="right"/>
      <w:pPr>
        <w:ind w:left="7920" w:hanging="360"/>
      </w:pPr>
      <w:rPr>
        <w:u w:val="none"/>
      </w:rPr>
    </w:lvl>
  </w:abstractNum>
  <w:abstractNum w:abstractNumId="10" w15:restartNumberingAfterBreak="0">
    <w:nsid w:val="65C3429E"/>
    <w:multiLevelType w:val="multilevel"/>
    <w:tmpl w:val="E53852C0"/>
    <w:lvl w:ilvl="0">
      <w:start w:val="1"/>
      <w:numFmt w:val="lowerRoman"/>
      <w:lvlText w:val="%1."/>
      <w:lvlJc w:val="right"/>
      <w:pPr>
        <w:ind w:left="144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671F53AA"/>
    <w:multiLevelType w:val="multilevel"/>
    <w:tmpl w:val="D0DAE070"/>
    <w:lvl w:ilvl="0">
      <w:start w:val="1"/>
      <w:numFmt w:val="lowerLetter"/>
      <w:lvlText w:val="%1."/>
      <w:lvlJc w:val="left"/>
      <w:pPr>
        <w:ind w:left="720" w:hanging="360"/>
      </w:pPr>
      <w:rPr>
        <w:rFonts w:ascii="Arial" w:eastAsia="Arial" w:hAnsi="Arial" w:cs="Arial"/>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15:restartNumberingAfterBreak="0">
    <w:nsid w:val="6A982201"/>
    <w:multiLevelType w:val="multilevel"/>
    <w:tmpl w:val="5CF245F0"/>
    <w:lvl w:ilvl="0">
      <w:start w:val="1"/>
      <w:numFmt w:val="lowerLetter"/>
      <w:lvlText w:val="%1."/>
      <w:lvlJc w:val="left"/>
      <w:pPr>
        <w:ind w:left="144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700C4ADD"/>
    <w:multiLevelType w:val="hybridMultilevel"/>
    <w:tmpl w:val="6E6CABC8"/>
    <w:lvl w:ilvl="0" w:tplc="C7582B5E">
      <w:start w:val="1"/>
      <w:numFmt w:val="bullet"/>
      <w:lvlText w:val=""/>
      <w:lvlJc w:val="left"/>
      <w:pPr>
        <w:ind w:left="720" w:hanging="360"/>
      </w:pPr>
      <w:rPr>
        <w:rFonts w:ascii="Symbol" w:hAnsi="Symbol" w:hint="default"/>
      </w:rPr>
    </w:lvl>
    <w:lvl w:ilvl="1" w:tplc="19702E1C" w:tentative="1">
      <w:start w:val="1"/>
      <w:numFmt w:val="bullet"/>
      <w:lvlText w:val="o"/>
      <w:lvlJc w:val="left"/>
      <w:pPr>
        <w:ind w:left="1440" w:hanging="360"/>
      </w:pPr>
      <w:rPr>
        <w:rFonts w:ascii="Courier New" w:hAnsi="Courier New" w:cs="Courier New" w:hint="default"/>
      </w:rPr>
    </w:lvl>
    <w:lvl w:ilvl="2" w:tplc="6FB28E36" w:tentative="1">
      <w:start w:val="1"/>
      <w:numFmt w:val="bullet"/>
      <w:lvlText w:val=""/>
      <w:lvlJc w:val="left"/>
      <w:pPr>
        <w:ind w:left="2160" w:hanging="360"/>
      </w:pPr>
      <w:rPr>
        <w:rFonts w:ascii="Wingdings" w:hAnsi="Wingdings" w:hint="default"/>
      </w:rPr>
    </w:lvl>
    <w:lvl w:ilvl="3" w:tplc="3DDC8472" w:tentative="1">
      <w:start w:val="1"/>
      <w:numFmt w:val="bullet"/>
      <w:lvlText w:val=""/>
      <w:lvlJc w:val="left"/>
      <w:pPr>
        <w:ind w:left="2880" w:hanging="360"/>
      </w:pPr>
      <w:rPr>
        <w:rFonts w:ascii="Symbol" w:hAnsi="Symbol" w:hint="default"/>
      </w:rPr>
    </w:lvl>
    <w:lvl w:ilvl="4" w:tplc="73D66EAA" w:tentative="1">
      <w:start w:val="1"/>
      <w:numFmt w:val="bullet"/>
      <w:lvlText w:val="o"/>
      <w:lvlJc w:val="left"/>
      <w:pPr>
        <w:ind w:left="3600" w:hanging="360"/>
      </w:pPr>
      <w:rPr>
        <w:rFonts w:ascii="Courier New" w:hAnsi="Courier New" w:cs="Courier New" w:hint="default"/>
      </w:rPr>
    </w:lvl>
    <w:lvl w:ilvl="5" w:tplc="E66C5934" w:tentative="1">
      <w:start w:val="1"/>
      <w:numFmt w:val="bullet"/>
      <w:lvlText w:val=""/>
      <w:lvlJc w:val="left"/>
      <w:pPr>
        <w:ind w:left="4320" w:hanging="360"/>
      </w:pPr>
      <w:rPr>
        <w:rFonts w:ascii="Wingdings" w:hAnsi="Wingdings" w:hint="default"/>
      </w:rPr>
    </w:lvl>
    <w:lvl w:ilvl="6" w:tplc="94F87FC0" w:tentative="1">
      <w:start w:val="1"/>
      <w:numFmt w:val="bullet"/>
      <w:lvlText w:val=""/>
      <w:lvlJc w:val="left"/>
      <w:pPr>
        <w:ind w:left="5040" w:hanging="360"/>
      </w:pPr>
      <w:rPr>
        <w:rFonts w:ascii="Symbol" w:hAnsi="Symbol" w:hint="default"/>
      </w:rPr>
    </w:lvl>
    <w:lvl w:ilvl="7" w:tplc="6FC8DFF8" w:tentative="1">
      <w:start w:val="1"/>
      <w:numFmt w:val="bullet"/>
      <w:lvlText w:val="o"/>
      <w:lvlJc w:val="left"/>
      <w:pPr>
        <w:ind w:left="5760" w:hanging="360"/>
      </w:pPr>
      <w:rPr>
        <w:rFonts w:ascii="Courier New" w:hAnsi="Courier New" w:cs="Courier New" w:hint="default"/>
      </w:rPr>
    </w:lvl>
    <w:lvl w:ilvl="8" w:tplc="CF34A968" w:tentative="1">
      <w:start w:val="1"/>
      <w:numFmt w:val="bullet"/>
      <w:lvlText w:val=""/>
      <w:lvlJc w:val="left"/>
      <w:pPr>
        <w:ind w:left="6480" w:hanging="360"/>
      </w:pPr>
      <w:rPr>
        <w:rFonts w:ascii="Wingdings" w:hAnsi="Wingdings" w:hint="default"/>
      </w:rPr>
    </w:lvl>
  </w:abstractNum>
  <w:abstractNum w:abstractNumId="14" w15:restartNumberingAfterBreak="0">
    <w:nsid w:val="7934246A"/>
    <w:multiLevelType w:val="multilevel"/>
    <w:tmpl w:val="47423F90"/>
    <w:lvl w:ilvl="0">
      <w:start w:val="3"/>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7AC22817"/>
    <w:multiLevelType w:val="multilevel"/>
    <w:tmpl w:val="46549192"/>
    <w:lvl w:ilvl="0">
      <w:start w:val="1"/>
      <w:numFmt w:val="upp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7C3C66CC"/>
    <w:multiLevelType w:val="multilevel"/>
    <w:tmpl w:val="C95C48EA"/>
    <w:lvl w:ilvl="0">
      <w:start w:val="1"/>
      <w:numFmt w:val="lowerRoman"/>
      <w:lvlText w:val="%1."/>
      <w:lvlJc w:val="right"/>
      <w:pPr>
        <w:ind w:left="144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577786557">
    <w:abstractNumId w:val="13"/>
  </w:num>
  <w:num w:numId="2" w16cid:durableId="1537616610">
    <w:abstractNumId w:val="15"/>
  </w:num>
  <w:num w:numId="3" w16cid:durableId="1804036322">
    <w:abstractNumId w:val="8"/>
  </w:num>
  <w:num w:numId="4" w16cid:durableId="671102065">
    <w:abstractNumId w:val="4"/>
  </w:num>
  <w:num w:numId="5" w16cid:durableId="719211828">
    <w:abstractNumId w:val="14"/>
  </w:num>
  <w:num w:numId="6" w16cid:durableId="395056024">
    <w:abstractNumId w:val="6"/>
  </w:num>
  <w:num w:numId="7" w16cid:durableId="229847786">
    <w:abstractNumId w:val="2"/>
  </w:num>
  <w:num w:numId="8" w16cid:durableId="1143037797">
    <w:abstractNumId w:val="1"/>
  </w:num>
  <w:num w:numId="9" w16cid:durableId="1798183452">
    <w:abstractNumId w:val="9"/>
  </w:num>
  <w:num w:numId="10" w16cid:durableId="250042256">
    <w:abstractNumId w:val="11"/>
  </w:num>
  <w:num w:numId="11" w16cid:durableId="1590112958">
    <w:abstractNumId w:val="7"/>
  </w:num>
  <w:num w:numId="12" w16cid:durableId="490830334">
    <w:abstractNumId w:val="16"/>
  </w:num>
  <w:num w:numId="13" w16cid:durableId="2129398558">
    <w:abstractNumId w:val="3"/>
  </w:num>
  <w:num w:numId="14" w16cid:durableId="998079385">
    <w:abstractNumId w:val="12"/>
  </w:num>
  <w:num w:numId="15" w16cid:durableId="1636062107">
    <w:abstractNumId w:val="0"/>
  </w:num>
  <w:num w:numId="16" w16cid:durableId="53089330">
    <w:abstractNumId w:val="5"/>
  </w:num>
  <w:num w:numId="17" w16cid:durableId="2840454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421"/>
    <w:rsid w:val="00022034"/>
    <w:rsid w:val="000D0416"/>
    <w:rsid w:val="000D2212"/>
    <w:rsid w:val="000D2796"/>
    <w:rsid w:val="000E398D"/>
    <w:rsid w:val="000F5307"/>
    <w:rsid w:val="00136D5C"/>
    <w:rsid w:val="00160AE9"/>
    <w:rsid w:val="00162791"/>
    <w:rsid w:val="001E4B35"/>
    <w:rsid w:val="00210491"/>
    <w:rsid w:val="00214E14"/>
    <w:rsid w:val="00240547"/>
    <w:rsid w:val="0024761C"/>
    <w:rsid w:val="002572CD"/>
    <w:rsid w:val="00262D68"/>
    <w:rsid w:val="00282CD3"/>
    <w:rsid w:val="00285862"/>
    <w:rsid w:val="0029176D"/>
    <w:rsid w:val="00293182"/>
    <w:rsid w:val="002A4853"/>
    <w:rsid w:val="00327201"/>
    <w:rsid w:val="0035404E"/>
    <w:rsid w:val="003D3944"/>
    <w:rsid w:val="003F0916"/>
    <w:rsid w:val="003F32C0"/>
    <w:rsid w:val="003F5BEE"/>
    <w:rsid w:val="003F712B"/>
    <w:rsid w:val="004153C7"/>
    <w:rsid w:val="00416D41"/>
    <w:rsid w:val="00424ADE"/>
    <w:rsid w:val="004736A5"/>
    <w:rsid w:val="004A30C0"/>
    <w:rsid w:val="004A52B3"/>
    <w:rsid w:val="004C14AB"/>
    <w:rsid w:val="004D5295"/>
    <w:rsid w:val="004E1A28"/>
    <w:rsid w:val="00522EC2"/>
    <w:rsid w:val="0054700C"/>
    <w:rsid w:val="0056223F"/>
    <w:rsid w:val="00563E96"/>
    <w:rsid w:val="0057521B"/>
    <w:rsid w:val="00590E99"/>
    <w:rsid w:val="00595604"/>
    <w:rsid w:val="005A109C"/>
    <w:rsid w:val="005A162F"/>
    <w:rsid w:val="00600298"/>
    <w:rsid w:val="00610536"/>
    <w:rsid w:val="00632463"/>
    <w:rsid w:val="00643CCF"/>
    <w:rsid w:val="0064771A"/>
    <w:rsid w:val="00671DFC"/>
    <w:rsid w:val="00693424"/>
    <w:rsid w:val="0069427A"/>
    <w:rsid w:val="006D0C4D"/>
    <w:rsid w:val="006D138E"/>
    <w:rsid w:val="006E2200"/>
    <w:rsid w:val="00713BA0"/>
    <w:rsid w:val="007264B8"/>
    <w:rsid w:val="007507D8"/>
    <w:rsid w:val="00774E5C"/>
    <w:rsid w:val="00780C26"/>
    <w:rsid w:val="007846BF"/>
    <w:rsid w:val="007A786E"/>
    <w:rsid w:val="007E7328"/>
    <w:rsid w:val="00866A03"/>
    <w:rsid w:val="008B6B2E"/>
    <w:rsid w:val="008C0F05"/>
    <w:rsid w:val="00917288"/>
    <w:rsid w:val="009208F0"/>
    <w:rsid w:val="00933F1E"/>
    <w:rsid w:val="009A45F5"/>
    <w:rsid w:val="00A04C2F"/>
    <w:rsid w:val="00A34767"/>
    <w:rsid w:val="00A45015"/>
    <w:rsid w:val="00A46B30"/>
    <w:rsid w:val="00A61366"/>
    <w:rsid w:val="00A61EEB"/>
    <w:rsid w:val="00A64095"/>
    <w:rsid w:val="00AB7185"/>
    <w:rsid w:val="00AC721D"/>
    <w:rsid w:val="00AE1595"/>
    <w:rsid w:val="00B0339E"/>
    <w:rsid w:val="00B26421"/>
    <w:rsid w:val="00B533AC"/>
    <w:rsid w:val="00B9673F"/>
    <w:rsid w:val="00BA6040"/>
    <w:rsid w:val="00BA648D"/>
    <w:rsid w:val="00BD3D14"/>
    <w:rsid w:val="00C65262"/>
    <w:rsid w:val="00CC326F"/>
    <w:rsid w:val="00D0255D"/>
    <w:rsid w:val="00D12793"/>
    <w:rsid w:val="00D5104A"/>
    <w:rsid w:val="00D52EEE"/>
    <w:rsid w:val="00D5613F"/>
    <w:rsid w:val="00DA57A7"/>
    <w:rsid w:val="00DA6039"/>
    <w:rsid w:val="00E069B0"/>
    <w:rsid w:val="00E07962"/>
    <w:rsid w:val="00EB6302"/>
    <w:rsid w:val="00ED072F"/>
    <w:rsid w:val="00ED30A3"/>
    <w:rsid w:val="00ED7D84"/>
    <w:rsid w:val="00EF77D9"/>
    <w:rsid w:val="00F64C8D"/>
    <w:rsid w:val="00F83408"/>
    <w:rsid w:val="00F97D5C"/>
    <w:rsid w:val="00FB675E"/>
    <w:rsid w:val="00FC5B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94506"/>
  <w15:chartTrackingRefBased/>
  <w15:docId w15:val="{3F5F1884-D4BD-49FA-9D8C-34F414FA5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264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64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64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64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64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64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64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64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64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64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64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64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64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64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64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64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64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6421"/>
    <w:rPr>
      <w:rFonts w:eastAsiaTheme="majorEastAsia" w:cstheme="majorBidi"/>
      <w:color w:val="272727" w:themeColor="text1" w:themeTint="D8"/>
    </w:rPr>
  </w:style>
  <w:style w:type="paragraph" w:styleId="Title">
    <w:name w:val="Title"/>
    <w:basedOn w:val="Normal"/>
    <w:next w:val="Normal"/>
    <w:link w:val="TitleChar"/>
    <w:uiPriority w:val="10"/>
    <w:qFormat/>
    <w:rsid w:val="00B264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64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64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64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6421"/>
    <w:pPr>
      <w:spacing w:before="160"/>
      <w:jc w:val="center"/>
    </w:pPr>
    <w:rPr>
      <w:i/>
      <w:iCs/>
      <w:color w:val="404040" w:themeColor="text1" w:themeTint="BF"/>
    </w:rPr>
  </w:style>
  <w:style w:type="character" w:customStyle="1" w:styleId="QuoteChar">
    <w:name w:val="Quote Char"/>
    <w:basedOn w:val="DefaultParagraphFont"/>
    <w:link w:val="Quote"/>
    <w:uiPriority w:val="29"/>
    <w:rsid w:val="00B26421"/>
    <w:rPr>
      <w:i/>
      <w:iCs/>
      <w:color w:val="404040" w:themeColor="text1" w:themeTint="BF"/>
    </w:rPr>
  </w:style>
  <w:style w:type="paragraph" w:styleId="ListParagraph">
    <w:name w:val="List Paragraph"/>
    <w:basedOn w:val="Normal"/>
    <w:uiPriority w:val="34"/>
    <w:qFormat/>
    <w:rsid w:val="00B26421"/>
    <w:pPr>
      <w:ind w:left="720"/>
      <w:contextualSpacing/>
    </w:pPr>
  </w:style>
  <w:style w:type="character" w:styleId="IntenseEmphasis">
    <w:name w:val="Intense Emphasis"/>
    <w:basedOn w:val="DefaultParagraphFont"/>
    <w:uiPriority w:val="21"/>
    <w:qFormat/>
    <w:rsid w:val="00B26421"/>
    <w:rPr>
      <w:i/>
      <w:iCs/>
      <w:color w:val="0F4761" w:themeColor="accent1" w:themeShade="BF"/>
    </w:rPr>
  </w:style>
  <w:style w:type="paragraph" w:styleId="IntenseQuote">
    <w:name w:val="Intense Quote"/>
    <w:basedOn w:val="Normal"/>
    <w:next w:val="Normal"/>
    <w:link w:val="IntenseQuoteChar"/>
    <w:uiPriority w:val="30"/>
    <w:qFormat/>
    <w:rsid w:val="00B264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6421"/>
    <w:rPr>
      <w:i/>
      <w:iCs/>
      <w:color w:val="0F4761" w:themeColor="accent1" w:themeShade="BF"/>
    </w:rPr>
  </w:style>
  <w:style w:type="character" w:styleId="IntenseReference">
    <w:name w:val="Intense Reference"/>
    <w:basedOn w:val="DefaultParagraphFont"/>
    <w:uiPriority w:val="32"/>
    <w:qFormat/>
    <w:rsid w:val="00B26421"/>
    <w:rPr>
      <w:b/>
      <w:bCs/>
      <w:smallCaps/>
      <w:color w:val="0F4761" w:themeColor="accent1" w:themeShade="BF"/>
      <w:spacing w:val="5"/>
    </w:rPr>
  </w:style>
  <w:style w:type="paragraph" w:styleId="Header">
    <w:name w:val="header"/>
    <w:basedOn w:val="Normal"/>
    <w:link w:val="HeaderChar"/>
    <w:uiPriority w:val="99"/>
    <w:unhideWhenUsed/>
    <w:rsid w:val="00B26421"/>
    <w:pPr>
      <w:tabs>
        <w:tab w:val="center" w:pos="4419"/>
        <w:tab w:val="right" w:pos="8838"/>
      </w:tabs>
      <w:spacing w:after="0" w:line="240" w:lineRule="auto"/>
    </w:pPr>
  </w:style>
  <w:style w:type="character" w:customStyle="1" w:styleId="HeaderChar">
    <w:name w:val="Header Char"/>
    <w:basedOn w:val="DefaultParagraphFont"/>
    <w:link w:val="Header"/>
    <w:uiPriority w:val="99"/>
    <w:rsid w:val="00B26421"/>
  </w:style>
  <w:style w:type="paragraph" w:styleId="Footer">
    <w:name w:val="footer"/>
    <w:basedOn w:val="Normal"/>
    <w:link w:val="FooterChar"/>
    <w:uiPriority w:val="99"/>
    <w:unhideWhenUsed/>
    <w:rsid w:val="00B26421"/>
    <w:pPr>
      <w:tabs>
        <w:tab w:val="center" w:pos="4419"/>
        <w:tab w:val="right" w:pos="8838"/>
      </w:tabs>
      <w:spacing w:after="0" w:line="240" w:lineRule="auto"/>
    </w:pPr>
  </w:style>
  <w:style w:type="character" w:customStyle="1" w:styleId="FooterChar">
    <w:name w:val="Footer Char"/>
    <w:basedOn w:val="DefaultParagraphFont"/>
    <w:link w:val="Footer"/>
    <w:uiPriority w:val="99"/>
    <w:rsid w:val="00B26421"/>
  </w:style>
  <w:style w:type="paragraph" w:styleId="NoSpacing">
    <w:name w:val="No Spacing"/>
    <w:uiPriority w:val="1"/>
    <w:qFormat/>
    <w:rsid w:val="0054700C"/>
    <w:pPr>
      <w:spacing w:after="0" w:line="240" w:lineRule="auto"/>
    </w:pPr>
    <w:rPr>
      <w:rFonts w:ascii="Arial" w:eastAsia="Arial" w:hAnsi="Arial" w:cs="Arial"/>
      <w:kern w:val="0"/>
      <w:szCs w:val="22"/>
      <w14:ligatures w14:val="none"/>
    </w:rPr>
  </w:style>
  <w:style w:type="paragraph" w:styleId="BalloonText">
    <w:name w:val="Balloon Text"/>
    <w:basedOn w:val="Normal"/>
    <w:link w:val="BalloonTextChar"/>
    <w:uiPriority w:val="99"/>
    <w:semiHidden/>
    <w:unhideWhenUsed/>
    <w:rsid w:val="00774E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4E5C"/>
    <w:rPr>
      <w:rFonts w:ascii="Segoe UI" w:hAnsi="Segoe UI" w:cs="Segoe UI"/>
      <w:sz w:val="18"/>
      <w:szCs w:val="18"/>
    </w:rPr>
  </w:style>
  <w:style w:type="numbering" w:customStyle="1" w:styleId="NoList1">
    <w:name w:val="No List1"/>
    <w:next w:val="NoList"/>
    <w:uiPriority w:val="99"/>
    <w:semiHidden/>
    <w:unhideWhenUsed/>
    <w:rsid w:val="00590E99"/>
  </w:style>
  <w:style w:type="table" w:customStyle="1" w:styleId="a">
    <w:name w:val="a"/>
    <w:basedOn w:val="TableNormal"/>
    <w:rsid w:val="00590E99"/>
    <w:pPr>
      <w:spacing w:after="0" w:line="276" w:lineRule="auto"/>
    </w:pPr>
    <w:rPr>
      <w:rFonts w:ascii="Arial" w:eastAsia="Arial" w:hAnsi="Arial" w:cs="Arial"/>
      <w:kern w:val="0"/>
      <w:sz w:val="22"/>
      <w:szCs w:val="22"/>
      <w:lang w:eastAsia="es-MX"/>
      <w14:ligatures w14:val="none"/>
    </w:rPr>
    <w:tblPr>
      <w:tblStyleRowBandSize w:val="1"/>
      <w:tblStyleColBandSize w:val="1"/>
      <w:tblCellMar>
        <w:top w:w="100" w:type="dxa"/>
        <w:left w:w="100" w:type="dxa"/>
        <w:bottom w:w="100" w:type="dxa"/>
        <w:right w:w="100" w:type="dxa"/>
      </w:tblCellMar>
    </w:tblPr>
  </w:style>
  <w:style w:type="table" w:customStyle="1" w:styleId="a0">
    <w:name w:val="a0"/>
    <w:basedOn w:val="TableNormal"/>
    <w:rsid w:val="00590E99"/>
    <w:pPr>
      <w:spacing w:after="0" w:line="276" w:lineRule="auto"/>
    </w:pPr>
    <w:rPr>
      <w:rFonts w:ascii="Arial" w:eastAsia="Arial" w:hAnsi="Arial" w:cs="Arial"/>
      <w:kern w:val="0"/>
      <w:sz w:val="22"/>
      <w:szCs w:val="22"/>
      <w:lang w:eastAsia="es-MX"/>
      <w14:ligatures w14:val="none"/>
    </w:rPr>
    <w:tblPr>
      <w:tblStyleRowBandSize w:val="1"/>
      <w:tblStyleColBandSize w:val="1"/>
      <w:tblCellMar>
        <w:top w:w="100" w:type="dxa"/>
        <w:left w:w="100" w:type="dxa"/>
        <w:bottom w:w="100" w:type="dxa"/>
        <w:right w:w="100" w:type="dxa"/>
      </w:tblCellMar>
    </w:tblPr>
  </w:style>
  <w:style w:type="table" w:customStyle="1" w:styleId="a1">
    <w:name w:val="a1"/>
    <w:basedOn w:val="TableNormal"/>
    <w:rsid w:val="00590E99"/>
    <w:pPr>
      <w:spacing w:after="0" w:line="276" w:lineRule="auto"/>
    </w:pPr>
    <w:rPr>
      <w:rFonts w:ascii="Arial" w:eastAsia="Arial" w:hAnsi="Arial" w:cs="Arial"/>
      <w:kern w:val="0"/>
      <w:sz w:val="22"/>
      <w:szCs w:val="22"/>
      <w:lang w:eastAsia="es-MX"/>
      <w14:ligatures w14:val="none"/>
    </w:rPr>
    <w:tblPr>
      <w:tblStyleRowBandSize w:val="1"/>
      <w:tblStyleColBandSize w:val="1"/>
      <w:tblCellMar>
        <w:top w:w="100" w:type="dxa"/>
        <w:left w:w="100" w:type="dxa"/>
        <w:bottom w:w="100" w:type="dxa"/>
        <w:right w:w="100" w:type="dxa"/>
      </w:tblCellMar>
    </w:tblPr>
  </w:style>
  <w:style w:type="table" w:customStyle="1" w:styleId="a2">
    <w:name w:val="a2"/>
    <w:basedOn w:val="TableNormal"/>
    <w:rsid w:val="00590E99"/>
    <w:pPr>
      <w:spacing w:after="0" w:line="276" w:lineRule="auto"/>
    </w:pPr>
    <w:rPr>
      <w:rFonts w:ascii="Arial" w:eastAsia="Arial" w:hAnsi="Arial" w:cs="Arial"/>
      <w:kern w:val="0"/>
      <w:sz w:val="22"/>
      <w:szCs w:val="22"/>
      <w:lang w:eastAsia="es-MX"/>
      <w14:ligatures w14:val="none"/>
    </w:rPr>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590E99"/>
    <w:pPr>
      <w:spacing w:after="0" w:line="240" w:lineRule="auto"/>
    </w:pPr>
    <w:rPr>
      <w:rFonts w:ascii="Arial" w:eastAsia="Arial" w:hAnsi="Arial" w:cs="Arial"/>
      <w:kern w:val="0"/>
      <w:sz w:val="22"/>
      <w:szCs w:val="22"/>
      <w:lang w:eastAsia="es-MX"/>
      <w14:ligatures w14:val="none"/>
    </w:rPr>
  </w:style>
  <w:style w:type="paragraph" w:styleId="FootnoteText">
    <w:name w:val="footnote text"/>
    <w:basedOn w:val="Normal"/>
    <w:link w:val="FootnoteTextChar"/>
    <w:uiPriority w:val="99"/>
    <w:semiHidden/>
    <w:unhideWhenUsed/>
    <w:rsid w:val="00590E99"/>
    <w:pPr>
      <w:spacing w:after="0" w:line="240" w:lineRule="auto"/>
    </w:pPr>
    <w:rPr>
      <w:rFonts w:ascii="Arial" w:eastAsia="Arial" w:hAnsi="Arial" w:cs="Arial"/>
      <w:kern w:val="0"/>
      <w:sz w:val="20"/>
      <w:szCs w:val="20"/>
      <w:lang w:eastAsia="es-MX"/>
      <w14:ligatures w14:val="none"/>
    </w:rPr>
  </w:style>
  <w:style w:type="character" w:customStyle="1" w:styleId="FootnoteTextChar">
    <w:name w:val="Footnote Text Char"/>
    <w:basedOn w:val="DefaultParagraphFont"/>
    <w:link w:val="FootnoteText"/>
    <w:uiPriority w:val="99"/>
    <w:semiHidden/>
    <w:rsid w:val="00590E99"/>
    <w:rPr>
      <w:rFonts w:ascii="Arial" w:eastAsia="Arial" w:hAnsi="Arial" w:cs="Arial"/>
      <w:kern w:val="0"/>
      <w:sz w:val="20"/>
      <w:szCs w:val="20"/>
      <w:lang w:eastAsia="es-MX"/>
      <w14:ligatures w14:val="none"/>
    </w:rPr>
  </w:style>
  <w:style w:type="character" w:styleId="FootnoteReference">
    <w:name w:val="footnote reference"/>
    <w:basedOn w:val="DefaultParagraphFont"/>
    <w:unhideWhenUsed/>
    <w:qFormat/>
    <w:rsid w:val="00590E99"/>
    <w:rPr>
      <w:vertAlign w:val="superscript"/>
    </w:rPr>
  </w:style>
  <w:style w:type="character" w:styleId="CommentReference">
    <w:name w:val="annotation reference"/>
    <w:basedOn w:val="DefaultParagraphFont"/>
    <w:uiPriority w:val="99"/>
    <w:semiHidden/>
    <w:unhideWhenUsed/>
    <w:rsid w:val="00590E99"/>
    <w:rPr>
      <w:sz w:val="16"/>
      <w:szCs w:val="16"/>
    </w:rPr>
  </w:style>
  <w:style w:type="paragraph" w:styleId="CommentText">
    <w:name w:val="annotation text"/>
    <w:basedOn w:val="Normal"/>
    <w:link w:val="CommentTextChar"/>
    <w:uiPriority w:val="99"/>
    <w:unhideWhenUsed/>
    <w:rsid w:val="00590E99"/>
    <w:pPr>
      <w:spacing w:after="0" w:line="240" w:lineRule="auto"/>
    </w:pPr>
    <w:rPr>
      <w:rFonts w:ascii="Arial" w:eastAsia="Arial" w:hAnsi="Arial" w:cs="Arial"/>
      <w:kern w:val="0"/>
      <w:sz w:val="20"/>
      <w:szCs w:val="20"/>
      <w:lang w:eastAsia="es-MX"/>
      <w14:ligatures w14:val="none"/>
    </w:rPr>
  </w:style>
  <w:style w:type="character" w:customStyle="1" w:styleId="CommentTextChar">
    <w:name w:val="Comment Text Char"/>
    <w:basedOn w:val="DefaultParagraphFont"/>
    <w:link w:val="CommentText"/>
    <w:uiPriority w:val="99"/>
    <w:rsid w:val="00590E99"/>
    <w:rPr>
      <w:rFonts w:ascii="Arial" w:eastAsia="Arial" w:hAnsi="Arial" w:cs="Arial"/>
      <w:kern w:val="0"/>
      <w:sz w:val="20"/>
      <w:szCs w:val="20"/>
      <w:lang w:eastAsia="es-MX"/>
      <w14:ligatures w14:val="none"/>
    </w:rPr>
  </w:style>
  <w:style w:type="paragraph" w:styleId="CommentSubject">
    <w:name w:val="annotation subject"/>
    <w:basedOn w:val="CommentText"/>
    <w:next w:val="CommentText"/>
    <w:link w:val="CommentSubjectChar"/>
    <w:uiPriority w:val="99"/>
    <w:semiHidden/>
    <w:unhideWhenUsed/>
    <w:rsid w:val="00590E99"/>
    <w:rPr>
      <w:b/>
      <w:bCs/>
    </w:rPr>
  </w:style>
  <w:style w:type="character" w:customStyle="1" w:styleId="CommentSubjectChar">
    <w:name w:val="Comment Subject Char"/>
    <w:basedOn w:val="CommentTextChar"/>
    <w:link w:val="CommentSubject"/>
    <w:uiPriority w:val="99"/>
    <w:semiHidden/>
    <w:rsid w:val="00590E99"/>
    <w:rPr>
      <w:rFonts w:ascii="Arial" w:eastAsia="Arial" w:hAnsi="Arial" w:cs="Arial"/>
      <w:b/>
      <w:bCs/>
      <w:kern w:val="0"/>
      <w:sz w:val="20"/>
      <w:szCs w:val="20"/>
      <w:lang w:eastAsia="es-MX"/>
      <w14:ligatures w14:val="none"/>
    </w:rPr>
  </w:style>
  <w:style w:type="table" w:customStyle="1" w:styleId="TableGrid1">
    <w:name w:val="Table Grid1"/>
    <w:basedOn w:val="TableNormal"/>
    <w:next w:val="TableGrid"/>
    <w:uiPriority w:val="39"/>
    <w:rsid w:val="00590E99"/>
    <w:pPr>
      <w:spacing w:after="0" w:line="240" w:lineRule="auto"/>
    </w:pPr>
    <w:rPr>
      <w:kern w:val="0"/>
      <w:sz w:val="22"/>
      <w:szCs w:val="22"/>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3">
    <w:name w:val="a3"/>
    <w:basedOn w:val="TableNormal"/>
    <w:rsid w:val="00590E99"/>
    <w:pPr>
      <w:spacing w:after="0" w:line="240" w:lineRule="auto"/>
    </w:pPr>
    <w:rPr>
      <w:rFonts w:ascii="Cambria" w:eastAsia="Cambria" w:hAnsi="Cambria" w:cs="Cambria"/>
      <w:kern w:val="0"/>
      <w:sz w:val="22"/>
      <w:szCs w:val="22"/>
      <w:lang w:eastAsia="es-MX"/>
      <w14:ligatures w14:val="none"/>
    </w:rPr>
    <w:tblPr>
      <w:tblStyleRowBandSize w:val="1"/>
      <w:tblStyleColBandSize w:val="1"/>
    </w:tblPr>
  </w:style>
  <w:style w:type="table" w:customStyle="1" w:styleId="a4">
    <w:name w:val="a4"/>
    <w:basedOn w:val="TableNormal"/>
    <w:rsid w:val="00590E99"/>
    <w:pPr>
      <w:spacing w:after="0" w:line="276" w:lineRule="auto"/>
    </w:pPr>
    <w:rPr>
      <w:rFonts w:ascii="Arial" w:eastAsia="Arial" w:hAnsi="Arial" w:cs="Arial"/>
      <w:kern w:val="0"/>
      <w:sz w:val="22"/>
      <w:szCs w:val="22"/>
      <w:lang w:eastAsia="es-MX"/>
      <w14:ligatures w14:val="none"/>
    </w:rPr>
    <w:tblPr>
      <w:tblStyleRowBandSize w:val="1"/>
      <w:tblStyleColBandSize w:val="1"/>
      <w:tblCellMar>
        <w:top w:w="100" w:type="dxa"/>
        <w:left w:w="100" w:type="dxa"/>
        <w:bottom w:w="100" w:type="dxa"/>
        <w:right w:w="100" w:type="dxa"/>
      </w:tblCellMar>
    </w:tblPr>
  </w:style>
  <w:style w:type="table" w:customStyle="1" w:styleId="a5">
    <w:name w:val="a5"/>
    <w:basedOn w:val="TableNormal"/>
    <w:rsid w:val="00590E99"/>
    <w:pPr>
      <w:spacing w:after="0" w:line="276" w:lineRule="auto"/>
    </w:pPr>
    <w:rPr>
      <w:rFonts w:ascii="Arial" w:eastAsia="Arial" w:hAnsi="Arial" w:cs="Arial"/>
      <w:kern w:val="0"/>
      <w:sz w:val="22"/>
      <w:szCs w:val="22"/>
      <w:lang w:eastAsia="es-MX"/>
      <w14:ligatures w14:val="none"/>
    </w:rPr>
    <w:tblPr>
      <w:tblStyleRowBandSize w:val="1"/>
      <w:tblStyleColBandSize w:val="1"/>
      <w:tblCellMar>
        <w:top w:w="100" w:type="dxa"/>
        <w:left w:w="100" w:type="dxa"/>
        <w:bottom w:w="100" w:type="dxa"/>
        <w:right w:w="100" w:type="dxa"/>
      </w:tblCellMar>
    </w:tblPr>
  </w:style>
  <w:style w:type="table" w:customStyle="1" w:styleId="a6">
    <w:name w:val="a6"/>
    <w:basedOn w:val="TableNormal"/>
    <w:rsid w:val="00590E99"/>
    <w:pPr>
      <w:spacing w:after="0" w:line="276" w:lineRule="auto"/>
    </w:pPr>
    <w:rPr>
      <w:rFonts w:ascii="Arial" w:eastAsia="Arial" w:hAnsi="Arial" w:cs="Arial"/>
      <w:kern w:val="0"/>
      <w:sz w:val="22"/>
      <w:szCs w:val="22"/>
      <w:lang w:eastAsia="es-MX"/>
      <w14:ligatures w14:val="none"/>
    </w:rPr>
    <w:tblPr>
      <w:tblStyleRowBandSize w:val="1"/>
      <w:tblStyleColBandSize w:val="1"/>
      <w:tblCellMar>
        <w:top w:w="100" w:type="dxa"/>
        <w:left w:w="100" w:type="dxa"/>
        <w:bottom w:w="100" w:type="dxa"/>
        <w:right w:w="100" w:type="dxa"/>
      </w:tblCellMar>
    </w:tblPr>
  </w:style>
  <w:style w:type="table" w:customStyle="1" w:styleId="11">
    <w:name w:val="11"/>
    <w:basedOn w:val="TableNormal"/>
    <w:rsid w:val="00590E99"/>
    <w:pPr>
      <w:spacing w:after="0" w:line="276" w:lineRule="auto"/>
    </w:pPr>
    <w:rPr>
      <w:rFonts w:ascii="Arial" w:eastAsia="Arial" w:hAnsi="Arial" w:cs="Arial"/>
      <w:kern w:val="0"/>
      <w:sz w:val="22"/>
      <w:szCs w:val="22"/>
      <w:lang w:eastAsia="es-MX"/>
      <w14:ligatures w14:val="none"/>
    </w:rPr>
    <w:tblPr>
      <w:tblStyleRowBandSize w:val="1"/>
      <w:tblStyleColBandSize w:val="1"/>
      <w:tblCellMar>
        <w:top w:w="100" w:type="dxa"/>
        <w:left w:w="100" w:type="dxa"/>
        <w:bottom w:w="100" w:type="dxa"/>
        <w:right w:w="100" w:type="dxa"/>
      </w:tblCellMar>
    </w:tblPr>
  </w:style>
  <w:style w:type="table" w:customStyle="1" w:styleId="10">
    <w:name w:val="10"/>
    <w:basedOn w:val="TableNormal"/>
    <w:rsid w:val="00590E99"/>
    <w:pPr>
      <w:spacing w:after="0" w:line="276" w:lineRule="auto"/>
    </w:pPr>
    <w:rPr>
      <w:rFonts w:ascii="Arial" w:eastAsia="Arial" w:hAnsi="Arial" w:cs="Arial"/>
      <w:kern w:val="0"/>
      <w:sz w:val="22"/>
      <w:szCs w:val="22"/>
      <w:lang w:eastAsia="es-MX"/>
      <w14:ligatures w14:val="none"/>
    </w:rPr>
    <w:tblPr>
      <w:tblStyleRowBandSize w:val="1"/>
      <w:tblStyleColBandSize w:val="1"/>
      <w:tblCellMar>
        <w:top w:w="100" w:type="dxa"/>
        <w:left w:w="100" w:type="dxa"/>
        <w:bottom w:w="100" w:type="dxa"/>
        <w:right w:w="100" w:type="dxa"/>
      </w:tblCellMar>
    </w:tblPr>
  </w:style>
  <w:style w:type="table" w:customStyle="1" w:styleId="9">
    <w:name w:val="9"/>
    <w:basedOn w:val="TableNormal"/>
    <w:rsid w:val="00590E99"/>
    <w:pPr>
      <w:spacing w:after="0" w:line="276" w:lineRule="auto"/>
    </w:pPr>
    <w:rPr>
      <w:rFonts w:ascii="Arial" w:eastAsia="Arial" w:hAnsi="Arial" w:cs="Arial"/>
      <w:kern w:val="0"/>
      <w:sz w:val="22"/>
      <w:szCs w:val="22"/>
      <w:lang w:eastAsia="es-MX"/>
      <w14:ligatures w14:val="none"/>
    </w:rPr>
    <w:tblPr>
      <w:tblStyleRowBandSize w:val="1"/>
      <w:tblStyleColBandSize w:val="1"/>
      <w:tblCellMar>
        <w:top w:w="100" w:type="dxa"/>
        <w:left w:w="100" w:type="dxa"/>
        <w:bottom w:w="100" w:type="dxa"/>
        <w:right w:w="100" w:type="dxa"/>
      </w:tblCellMar>
    </w:tblPr>
  </w:style>
  <w:style w:type="table" w:customStyle="1" w:styleId="8">
    <w:name w:val="8"/>
    <w:basedOn w:val="TableNormal"/>
    <w:rsid w:val="00590E99"/>
    <w:pPr>
      <w:spacing w:after="0" w:line="276" w:lineRule="auto"/>
    </w:pPr>
    <w:rPr>
      <w:rFonts w:ascii="Arial" w:eastAsia="Arial" w:hAnsi="Arial" w:cs="Arial"/>
      <w:kern w:val="0"/>
      <w:sz w:val="22"/>
      <w:szCs w:val="22"/>
      <w:lang w:eastAsia="es-MX"/>
      <w14:ligatures w14:val="none"/>
    </w:rPr>
    <w:tblPr>
      <w:tblStyleRowBandSize w:val="1"/>
      <w:tblStyleColBandSize w:val="1"/>
      <w:tblCellMar>
        <w:top w:w="100" w:type="dxa"/>
        <w:left w:w="100" w:type="dxa"/>
        <w:bottom w:w="100" w:type="dxa"/>
        <w:right w:w="100" w:type="dxa"/>
      </w:tblCellMar>
    </w:tblPr>
  </w:style>
  <w:style w:type="table" w:customStyle="1" w:styleId="7">
    <w:name w:val="7"/>
    <w:basedOn w:val="TableNormal"/>
    <w:rsid w:val="00590E99"/>
    <w:pPr>
      <w:spacing w:after="0" w:line="276" w:lineRule="auto"/>
    </w:pPr>
    <w:rPr>
      <w:rFonts w:ascii="Arial" w:eastAsia="Arial" w:hAnsi="Arial" w:cs="Arial"/>
      <w:kern w:val="0"/>
      <w:sz w:val="22"/>
      <w:szCs w:val="22"/>
      <w:lang w:eastAsia="es-MX"/>
      <w14:ligatures w14:val="none"/>
    </w:rPr>
    <w:tblPr>
      <w:tblStyleRowBandSize w:val="1"/>
      <w:tblStyleColBandSize w:val="1"/>
      <w:tblCellMar>
        <w:top w:w="100" w:type="dxa"/>
        <w:left w:w="100" w:type="dxa"/>
        <w:bottom w:w="100" w:type="dxa"/>
        <w:right w:w="100" w:type="dxa"/>
      </w:tblCellMar>
    </w:tblPr>
  </w:style>
  <w:style w:type="table" w:customStyle="1" w:styleId="6">
    <w:name w:val="6"/>
    <w:basedOn w:val="TableNormal"/>
    <w:rsid w:val="00590E99"/>
    <w:pPr>
      <w:spacing w:after="0" w:line="276" w:lineRule="auto"/>
    </w:pPr>
    <w:rPr>
      <w:rFonts w:ascii="Arial" w:eastAsia="Arial" w:hAnsi="Arial" w:cs="Arial"/>
      <w:kern w:val="0"/>
      <w:sz w:val="22"/>
      <w:szCs w:val="22"/>
      <w:lang w:eastAsia="es-MX"/>
      <w14:ligatures w14:val="none"/>
    </w:rPr>
    <w:tblPr>
      <w:tblStyleRowBandSize w:val="1"/>
      <w:tblStyleColBandSize w:val="1"/>
      <w:tblCellMar>
        <w:top w:w="100" w:type="dxa"/>
        <w:left w:w="100" w:type="dxa"/>
        <w:bottom w:w="100" w:type="dxa"/>
        <w:right w:w="100" w:type="dxa"/>
      </w:tblCellMar>
    </w:tblPr>
  </w:style>
  <w:style w:type="table" w:customStyle="1" w:styleId="5">
    <w:name w:val="5"/>
    <w:basedOn w:val="TableNormal"/>
    <w:rsid w:val="00590E99"/>
    <w:pPr>
      <w:spacing w:after="0" w:line="276" w:lineRule="auto"/>
    </w:pPr>
    <w:rPr>
      <w:rFonts w:ascii="Arial" w:eastAsia="Arial" w:hAnsi="Arial" w:cs="Arial"/>
      <w:kern w:val="0"/>
      <w:sz w:val="22"/>
      <w:szCs w:val="22"/>
      <w:lang w:eastAsia="es-MX"/>
      <w14:ligatures w14:val="none"/>
    </w:rPr>
    <w:tblPr>
      <w:tblStyleRowBandSize w:val="1"/>
      <w:tblStyleColBandSize w:val="1"/>
      <w:tblCellMar>
        <w:top w:w="100" w:type="dxa"/>
        <w:left w:w="100" w:type="dxa"/>
        <w:bottom w:w="100" w:type="dxa"/>
        <w:right w:w="100" w:type="dxa"/>
      </w:tblCellMar>
    </w:tblPr>
  </w:style>
  <w:style w:type="table" w:customStyle="1" w:styleId="4">
    <w:name w:val="4"/>
    <w:basedOn w:val="TableNormal"/>
    <w:rsid w:val="00590E99"/>
    <w:pPr>
      <w:spacing w:after="0" w:line="276" w:lineRule="auto"/>
    </w:pPr>
    <w:rPr>
      <w:rFonts w:ascii="Arial" w:eastAsia="Arial" w:hAnsi="Arial" w:cs="Arial"/>
      <w:kern w:val="0"/>
      <w:sz w:val="22"/>
      <w:szCs w:val="22"/>
      <w:lang w:eastAsia="es-MX"/>
      <w14:ligatures w14:val="none"/>
    </w:rPr>
    <w:tblPr>
      <w:tblStyleRowBandSize w:val="1"/>
      <w:tblStyleColBandSize w:val="1"/>
      <w:tblCellMar>
        <w:top w:w="100" w:type="dxa"/>
        <w:left w:w="100" w:type="dxa"/>
        <w:bottom w:w="100" w:type="dxa"/>
        <w:right w:w="100" w:type="dxa"/>
      </w:tblCellMar>
    </w:tblPr>
  </w:style>
  <w:style w:type="table" w:customStyle="1" w:styleId="3">
    <w:name w:val="3"/>
    <w:basedOn w:val="TableNormal"/>
    <w:rsid w:val="00590E99"/>
    <w:pPr>
      <w:spacing w:after="0" w:line="276" w:lineRule="auto"/>
    </w:pPr>
    <w:rPr>
      <w:rFonts w:ascii="Arial" w:eastAsia="Arial" w:hAnsi="Arial" w:cs="Arial"/>
      <w:kern w:val="0"/>
      <w:sz w:val="22"/>
      <w:szCs w:val="22"/>
      <w:lang w:eastAsia="es-MX"/>
      <w14:ligatures w14:val="none"/>
    </w:rPr>
    <w:tblPr>
      <w:tblStyleRowBandSize w:val="1"/>
      <w:tblStyleColBandSize w:val="1"/>
      <w:tblCellMar>
        <w:top w:w="100" w:type="dxa"/>
        <w:left w:w="100" w:type="dxa"/>
        <w:bottom w:w="100" w:type="dxa"/>
        <w:right w:w="100" w:type="dxa"/>
      </w:tblCellMar>
    </w:tblPr>
  </w:style>
  <w:style w:type="table" w:customStyle="1" w:styleId="2">
    <w:name w:val="2"/>
    <w:basedOn w:val="TableNormal"/>
    <w:rsid w:val="00590E99"/>
    <w:pPr>
      <w:spacing w:after="0" w:line="276" w:lineRule="auto"/>
    </w:pPr>
    <w:rPr>
      <w:rFonts w:ascii="Arial" w:eastAsia="Arial" w:hAnsi="Arial" w:cs="Arial"/>
      <w:kern w:val="0"/>
      <w:sz w:val="22"/>
      <w:szCs w:val="22"/>
      <w:lang w:eastAsia="es-MX"/>
      <w14:ligatures w14:val="none"/>
    </w:rPr>
    <w:tblPr>
      <w:tblStyleRowBandSize w:val="1"/>
      <w:tblStyleColBandSize w:val="1"/>
      <w:tblCellMar>
        <w:top w:w="100" w:type="dxa"/>
        <w:left w:w="100" w:type="dxa"/>
        <w:bottom w:w="100" w:type="dxa"/>
        <w:right w:w="100" w:type="dxa"/>
      </w:tblCellMar>
    </w:tblPr>
  </w:style>
  <w:style w:type="table" w:customStyle="1" w:styleId="1">
    <w:name w:val="1"/>
    <w:basedOn w:val="TableNormal"/>
    <w:rsid w:val="00590E99"/>
    <w:pPr>
      <w:spacing w:after="0" w:line="276" w:lineRule="auto"/>
    </w:pPr>
    <w:rPr>
      <w:rFonts w:ascii="Arial" w:eastAsia="Arial" w:hAnsi="Arial" w:cs="Arial"/>
      <w:kern w:val="0"/>
      <w:sz w:val="22"/>
      <w:szCs w:val="22"/>
      <w:lang w:eastAsia="es-MX"/>
      <w14:ligatures w14:val="none"/>
    </w:rPr>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590E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4240</Words>
  <Characters>23323</Characters>
  <Application>Microsoft Office Word</Application>
  <DocSecurity>0</DocSecurity>
  <Lines>194</Lines>
  <Paragraphs>55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Gonzalez Berrueto, Alejandra</dc:creator>
  <cp:lastModifiedBy>Gonzalez Berrueto, Alejandra</cp:lastModifiedBy>
  <cp:revision>3</cp:revision>
  <cp:lastPrinted>2025-06-12T23:31:00Z</cp:lastPrinted>
  <dcterms:created xsi:type="dcterms:W3CDTF">2025-06-17T23:52:00Z</dcterms:created>
  <dcterms:modified xsi:type="dcterms:W3CDTF">2025-06-17T23:56:00Z</dcterms:modified>
</cp:coreProperties>
</file>